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15565" w14:textId="77777777" w:rsidR="00E64DBC" w:rsidRPr="00E64DBC" w:rsidRDefault="00E64DBC" w:rsidP="00E64DBC">
      <w:pPr>
        <w:spacing w:after="0" w:line="360" w:lineRule="auto"/>
        <w:ind w:firstLine="567"/>
        <w:rPr>
          <w:rFonts w:ascii="Times New Roman" w:hAnsi="Times New Roman" w:cs="Times New Roman"/>
          <w:sz w:val="28"/>
          <w:szCs w:val="28"/>
        </w:rPr>
      </w:pPr>
      <w:proofErr w:type="spellStart"/>
      <w:r w:rsidRPr="00E64DBC">
        <w:rPr>
          <w:rFonts w:ascii="Times New Roman" w:hAnsi="Times New Roman" w:cs="Times New Roman"/>
          <w:sz w:val="28"/>
          <w:szCs w:val="28"/>
        </w:rPr>
        <w:t>УДК</w:t>
      </w:r>
      <w:proofErr w:type="spellEnd"/>
      <w:r w:rsidRPr="00E64DBC">
        <w:rPr>
          <w:rFonts w:ascii="Times New Roman" w:hAnsi="Times New Roman" w:cs="Times New Roman"/>
          <w:sz w:val="28"/>
          <w:szCs w:val="28"/>
        </w:rPr>
        <w:t xml:space="preserve"> 372.881.1 </w:t>
      </w:r>
    </w:p>
    <w:p w14:paraId="0335D60B" w14:textId="77777777" w:rsidR="00975443" w:rsidRPr="00ED6115" w:rsidRDefault="00E64DBC" w:rsidP="00ED6115">
      <w:pPr>
        <w:suppressAutoHyphens/>
        <w:spacing w:after="0" w:line="360" w:lineRule="auto"/>
        <w:ind w:firstLine="567"/>
        <w:jc w:val="center"/>
        <w:rPr>
          <w:rFonts w:ascii="Times New Roman" w:hAnsi="Times New Roman" w:cs="Times New Roman"/>
          <w:b/>
          <w:sz w:val="28"/>
          <w:szCs w:val="28"/>
        </w:rPr>
      </w:pPr>
      <w:r w:rsidRPr="00ED6115">
        <w:rPr>
          <w:rFonts w:ascii="Times New Roman" w:hAnsi="Times New Roman" w:cs="Times New Roman"/>
          <w:b/>
          <w:sz w:val="28"/>
          <w:szCs w:val="28"/>
        </w:rPr>
        <w:t>ИННОВАЦИОННО-ОРИЕНТИРОВАННАЯ МОДЕЛЬ ПОДГОТОВКИ МАГИСТРАНТОВ</w:t>
      </w:r>
    </w:p>
    <w:p w14:paraId="43610903" w14:textId="77777777" w:rsidR="00ED6115" w:rsidRDefault="00ED6115" w:rsidP="00ED6115">
      <w:pPr>
        <w:suppressAutoHyphens/>
        <w:spacing w:after="0" w:line="360" w:lineRule="auto"/>
        <w:ind w:firstLine="567"/>
        <w:rPr>
          <w:rFonts w:ascii="Times New Roman" w:hAnsi="Times New Roman" w:cs="Times New Roman"/>
          <w:sz w:val="28"/>
          <w:szCs w:val="28"/>
        </w:rPr>
      </w:pPr>
    </w:p>
    <w:p w14:paraId="7CA38796" w14:textId="77777777" w:rsidR="00ED6115" w:rsidRPr="00ED6115" w:rsidRDefault="00ED6115" w:rsidP="00ED6115">
      <w:pPr>
        <w:suppressAutoHyphens/>
        <w:spacing w:after="0" w:line="360" w:lineRule="auto"/>
        <w:ind w:firstLine="567"/>
        <w:jc w:val="center"/>
        <w:rPr>
          <w:rFonts w:ascii="Times New Roman" w:hAnsi="Times New Roman" w:cs="Times New Roman"/>
          <w:b/>
          <w:sz w:val="28"/>
          <w:szCs w:val="28"/>
          <w:lang w:val="en-US"/>
        </w:rPr>
      </w:pPr>
      <w:r w:rsidRPr="00ED6115">
        <w:rPr>
          <w:rFonts w:ascii="Times New Roman" w:hAnsi="Times New Roman" w:cs="Times New Roman"/>
          <w:b/>
          <w:sz w:val="28"/>
          <w:szCs w:val="28"/>
          <w:lang w:val="en-US"/>
        </w:rPr>
        <w:t>INNOVATION-ORIENTED MODEL OF TRAINING UNDERGRADUATES</w:t>
      </w:r>
    </w:p>
    <w:p w14:paraId="289591FC" w14:textId="77777777" w:rsidR="00E64DBC" w:rsidRPr="00E64DBC" w:rsidRDefault="00E64DBC" w:rsidP="00ED6115">
      <w:pPr>
        <w:suppressAutoHyphens/>
        <w:spacing w:after="0" w:line="360" w:lineRule="auto"/>
        <w:ind w:firstLine="567"/>
        <w:jc w:val="center"/>
        <w:rPr>
          <w:rFonts w:ascii="Times New Roman" w:hAnsi="Times New Roman" w:cs="Times New Roman"/>
          <w:sz w:val="28"/>
          <w:szCs w:val="28"/>
        </w:rPr>
      </w:pPr>
      <w:r w:rsidRPr="00ED6115">
        <w:rPr>
          <w:rFonts w:ascii="Times New Roman" w:hAnsi="Times New Roman" w:cs="Times New Roman"/>
          <w:b/>
          <w:sz w:val="28"/>
          <w:szCs w:val="28"/>
        </w:rPr>
        <w:t>Иванов Иван Иванович</w:t>
      </w:r>
      <w:r w:rsidRPr="00E64DBC">
        <w:rPr>
          <w:rFonts w:ascii="Times New Roman" w:hAnsi="Times New Roman" w:cs="Times New Roman"/>
          <w:sz w:val="28"/>
          <w:szCs w:val="28"/>
        </w:rPr>
        <w:t>, доктор педагогических наук, профессор кафедры экономической подготовки</w:t>
      </w:r>
    </w:p>
    <w:p w14:paraId="0D0E3A34" w14:textId="77777777" w:rsidR="00E64DBC" w:rsidRPr="00ED6115" w:rsidRDefault="00E64DBC" w:rsidP="00ED6115">
      <w:pPr>
        <w:suppressAutoHyphens/>
        <w:spacing w:after="0" w:line="360" w:lineRule="auto"/>
        <w:ind w:firstLine="567"/>
        <w:jc w:val="center"/>
        <w:rPr>
          <w:rFonts w:ascii="Times New Roman" w:hAnsi="Times New Roman" w:cs="Times New Roman"/>
          <w:i/>
          <w:sz w:val="28"/>
          <w:szCs w:val="28"/>
        </w:rPr>
      </w:pPr>
      <w:r w:rsidRPr="00ED6115">
        <w:rPr>
          <w:rFonts w:ascii="Times New Roman" w:hAnsi="Times New Roman" w:cs="Times New Roman"/>
          <w:i/>
          <w:sz w:val="28"/>
          <w:szCs w:val="28"/>
        </w:rPr>
        <w:t>Саратовский государственный университет, Саратов (Россия)</w:t>
      </w:r>
    </w:p>
    <w:p w14:paraId="75DBA591" w14:textId="77777777" w:rsidR="00E64DBC" w:rsidRPr="00E64DBC" w:rsidRDefault="00E64DBC" w:rsidP="00ED6115">
      <w:pPr>
        <w:suppressAutoHyphens/>
        <w:spacing w:after="0" w:line="360" w:lineRule="auto"/>
        <w:ind w:firstLine="567"/>
        <w:jc w:val="center"/>
        <w:rPr>
          <w:rFonts w:ascii="Times New Roman" w:hAnsi="Times New Roman" w:cs="Times New Roman"/>
          <w:sz w:val="28"/>
          <w:szCs w:val="28"/>
        </w:rPr>
      </w:pPr>
      <w:r w:rsidRPr="00ED6115">
        <w:rPr>
          <w:rFonts w:ascii="Times New Roman" w:hAnsi="Times New Roman" w:cs="Times New Roman"/>
          <w:b/>
          <w:sz w:val="28"/>
          <w:szCs w:val="28"/>
        </w:rPr>
        <w:t>Заблоцкая Вера Максимовна</w:t>
      </w:r>
      <w:r w:rsidRPr="00E64DBC">
        <w:rPr>
          <w:rFonts w:ascii="Times New Roman" w:hAnsi="Times New Roman" w:cs="Times New Roman"/>
          <w:sz w:val="28"/>
          <w:szCs w:val="28"/>
        </w:rPr>
        <w:t>, кандидат педагогических наук, доцент, профессор кафедры русского языка и литературы, докторант Самарского государственного университета</w:t>
      </w:r>
    </w:p>
    <w:p w14:paraId="066BB33A" w14:textId="77777777" w:rsidR="00E64DBC" w:rsidRPr="00ED6115" w:rsidRDefault="00E64DBC" w:rsidP="00ED6115">
      <w:pPr>
        <w:suppressAutoHyphens/>
        <w:spacing w:after="0" w:line="360" w:lineRule="auto"/>
        <w:ind w:firstLine="567"/>
        <w:jc w:val="center"/>
        <w:rPr>
          <w:rFonts w:ascii="Times New Roman" w:hAnsi="Times New Roman" w:cs="Times New Roman"/>
          <w:i/>
          <w:sz w:val="28"/>
          <w:szCs w:val="28"/>
        </w:rPr>
      </w:pPr>
      <w:r w:rsidRPr="00ED6115">
        <w:rPr>
          <w:rFonts w:ascii="Times New Roman" w:hAnsi="Times New Roman" w:cs="Times New Roman"/>
          <w:i/>
          <w:sz w:val="28"/>
          <w:szCs w:val="28"/>
        </w:rPr>
        <w:t>Поволжский государственный университет сервиса, Тольятти (Россия)</w:t>
      </w:r>
    </w:p>
    <w:p w14:paraId="6CC75BCF" w14:textId="77777777" w:rsidR="00E64DBC" w:rsidRPr="00E64DBC" w:rsidRDefault="00E64DBC" w:rsidP="00ED6115">
      <w:pPr>
        <w:suppressAutoHyphens/>
        <w:spacing w:after="0" w:line="360" w:lineRule="auto"/>
        <w:ind w:firstLine="567"/>
        <w:jc w:val="center"/>
        <w:rPr>
          <w:rFonts w:ascii="Times New Roman" w:hAnsi="Times New Roman" w:cs="Times New Roman"/>
          <w:sz w:val="28"/>
          <w:szCs w:val="28"/>
        </w:rPr>
      </w:pPr>
      <w:r w:rsidRPr="00ED6115">
        <w:rPr>
          <w:rFonts w:ascii="Times New Roman" w:hAnsi="Times New Roman" w:cs="Times New Roman"/>
          <w:b/>
          <w:sz w:val="28"/>
          <w:szCs w:val="28"/>
        </w:rPr>
        <w:t>Савина Инна Ивановна</w:t>
      </w:r>
      <w:r w:rsidRPr="00E64DBC">
        <w:rPr>
          <w:rFonts w:ascii="Times New Roman" w:hAnsi="Times New Roman" w:cs="Times New Roman"/>
          <w:sz w:val="28"/>
          <w:szCs w:val="28"/>
        </w:rPr>
        <w:t>, аспирант</w:t>
      </w:r>
    </w:p>
    <w:p w14:paraId="371A06B1" w14:textId="77777777" w:rsidR="00E64DBC" w:rsidRPr="00ED6115" w:rsidRDefault="00E64DBC" w:rsidP="00ED6115">
      <w:pPr>
        <w:suppressAutoHyphens/>
        <w:spacing w:after="0" w:line="360" w:lineRule="auto"/>
        <w:ind w:firstLine="567"/>
        <w:jc w:val="center"/>
        <w:rPr>
          <w:rFonts w:ascii="Times New Roman" w:hAnsi="Times New Roman" w:cs="Times New Roman"/>
          <w:i/>
          <w:sz w:val="28"/>
          <w:szCs w:val="28"/>
        </w:rPr>
      </w:pPr>
      <w:r w:rsidRPr="00ED6115">
        <w:rPr>
          <w:rFonts w:ascii="Times New Roman" w:hAnsi="Times New Roman" w:cs="Times New Roman"/>
          <w:i/>
          <w:sz w:val="28"/>
          <w:szCs w:val="28"/>
        </w:rPr>
        <w:t>Ульяновский государственный университет, Ульяновск (Россия)</w:t>
      </w:r>
    </w:p>
    <w:p w14:paraId="7C7F7CC1" w14:textId="77777777" w:rsidR="00ED6115" w:rsidRDefault="00ED6115" w:rsidP="00ED6115">
      <w:pPr>
        <w:suppressAutoHyphens/>
        <w:spacing w:after="0" w:line="360" w:lineRule="auto"/>
        <w:ind w:firstLine="567"/>
        <w:rPr>
          <w:rFonts w:ascii="Times New Roman" w:hAnsi="Times New Roman" w:cs="Times New Roman"/>
          <w:sz w:val="28"/>
          <w:szCs w:val="28"/>
        </w:rPr>
      </w:pPr>
    </w:p>
    <w:p w14:paraId="41E1EAC1" w14:textId="77777777" w:rsidR="00ED6115" w:rsidRPr="00ED6115" w:rsidRDefault="00ED6115" w:rsidP="00ED6115">
      <w:pPr>
        <w:suppressAutoHyphens/>
        <w:spacing w:after="0" w:line="360" w:lineRule="auto"/>
        <w:ind w:firstLine="567"/>
        <w:jc w:val="center"/>
        <w:rPr>
          <w:rFonts w:ascii="Times New Roman" w:hAnsi="Times New Roman" w:cs="Times New Roman"/>
          <w:sz w:val="28"/>
          <w:szCs w:val="28"/>
          <w:lang w:val="en-US"/>
        </w:rPr>
      </w:pPr>
      <w:r w:rsidRPr="00ED6115">
        <w:rPr>
          <w:rFonts w:ascii="Times New Roman" w:hAnsi="Times New Roman" w:cs="Times New Roman"/>
          <w:b/>
          <w:sz w:val="28"/>
          <w:szCs w:val="28"/>
          <w:lang w:val="en-US"/>
        </w:rPr>
        <w:t xml:space="preserve">Ivanov Ivan </w:t>
      </w:r>
      <w:proofErr w:type="spellStart"/>
      <w:r w:rsidRPr="00ED6115">
        <w:rPr>
          <w:rFonts w:ascii="Times New Roman" w:hAnsi="Times New Roman" w:cs="Times New Roman"/>
          <w:b/>
          <w:sz w:val="28"/>
          <w:szCs w:val="28"/>
          <w:lang w:val="en-US"/>
        </w:rPr>
        <w:t>Ivanovich</w:t>
      </w:r>
      <w:proofErr w:type="spellEnd"/>
      <w:r w:rsidRPr="00ED6115">
        <w:rPr>
          <w:rFonts w:ascii="Times New Roman" w:hAnsi="Times New Roman" w:cs="Times New Roman"/>
          <w:b/>
          <w:sz w:val="28"/>
          <w:szCs w:val="28"/>
          <w:lang w:val="en-US"/>
        </w:rPr>
        <w:t>,</w:t>
      </w:r>
      <w:r w:rsidRPr="00ED6115">
        <w:rPr>
          <w:rFonts w:ascii="Times New Roman" w:hAnsi="Times New Roman" w:cs="Times New Roman"/>
          <w:b/>
          <w:i/>
          <w:sz w:val="28"/>
          <w:szCs w:val="28"/>
          <w:lang w:val="en-US"/>
        </w:rPr>
        <w:t xml:space="preserve"> </w:t>
      </w:r>
      <w:r w:rsidRPr="00ED6115">
        <w:rPr>
          <w:rFonts w:ascii="Times New Roman" w:hAnsi="Times New Roman" w:cs="Times New Roman"/>
          <w:sz w:val="28"/>
          <w:szCs w:val="28"/>
          <w:lang w:val="en-US"/>
        </w:rPr>
        <w:t>Doctor of Pedagogical Sciences, professor of Department of Economic Training</w:t>
      </w:r>
    </w:p>
    <w:p w14:paraId="12F7C4A9" w14:textId="77777777" w:rsidR="00ED6115" w:rsidRPr="00ED6115" w:rsidRDefault="00ED6115" w:rsidP="00ED6115">
      <w:pPr>
        <w:suppressAutoHyphens/>
        <w:spacing w:after="0" w:line="360" w:lineRule="auto"/>
        <w:ind w:firstLine="567"/>
        <w:jc w:val="center"/>
        <w:rPr>
          <w:rFonts w:ascii="Times New Roman" w:hAnsi="Times New Roman" w:cs="Times New Roman"/>
          <w:i/>
          <w:sz w:val="28"/>
          <w:szCs w:val="28"/>
          <w:lang w:val="en-US"/>
        </w:rPr>
      </w:pPr>
      <w:r w:rsidRPr="00ED6115">
        <w:rPr>
          <w:rFonts w:ascii="Times New Roman" w:hAnsi="Times New Roman" w:cs="Times New Roman"/>
          <w:i/>
          <w:sz w:val="28"/>
          <w:szCs w:val="28"/>
          <w:lang w:val="en-US"/>
        </w:rPr>
        <w:t>Saratov State University, Saratov (Russia)</w:t>
      </w:r>
    </w:p>
    <w:p w14:paraId="46403301" w14:textId="77777777" w:rsidR="00ED6115" w:rsidRPr="00ED6115" w:rsidRDefault="00ED6115" w:rsidP="00ED6115">
      <w:pPr>
        <w:suppressAutoHyphens/>
        <w:spacing w:after="0" w:line="360" w:lineRule="auto"/>
        <w:ind w:firstLine="567"/>
        <w:jc w:val="center"/>
        <w:rPr>
          <w:rFonts w:ascii="Times New Roman" w:hAnsi="Times New Roman" w:cs="Times New Roman"/>
          <w:sz w:val="28"/>
          <w:szCs w:val="28"/>
          <w:lang w:val="en-US"/>
        </w:rPr>
      </w:pPr>
      <w:proofErr w:type="spellStart"/>
      <w:r w:rsidRPr="00ED6115">
        <w:rPr>
          <w:rFonts w:ascii="Times New Roman" w:hAnsi="Times New Roman" w:cs="Times New Roman"/>
          <w:b/>
          <w:sz w:val="28"/>
          <w:szCs w:val="28"/>
          <w:lang w:val="en-US"/>
        </w:rPr>
        <w:t>Zablotskaya</w:t>
      </w:r>
      <w:proofErr w:type="spellEnd"/>
      <w:r w:rsidRPr="00ED6115">
        <w:rPr>
          <w:rFonts w:ascii="Times New Roman" w:hAnsi="Times New Roman" w:cs="Times New Roman"/>
          <w:b/>
          <w:sz w:val="28"/>
          <w:szCs w:val="28"/>
          <w:lang w:val="en-US"/>
        </w:rPr>
        <w:t xml:space="preserve"> Vera </w:t>
      </w:r>
      <w:proofErr w:type="spellStart"/>
      <w:r w:rsidRPr="00ED6115">
        <w:rPr>
          <w:rFonts w:ascii="Times New Roman" w:hAnsi="Times New Roman" w:cs="Times New Roman"/>
          <w:b/>
          <w:sz w:val="28"/>
          <w:szCs w:val="28"/>
          <w:lang w:val="en-US"/>
        </w:rPr>
        <w:t>Maksimovna</w:t>
      </w:r>
      <w:proofErr w:type="spellEnd"/>
      <w:r w:rsidRPr="00ED6115">
        <w:rPr>
          <w:rFonts w:ascii="Times New Roman" w:hAnsi="Times New Roman" w:cs="Times New Roman"/>
          <w:sz w:val="28"/>
          <w:szCs w:val="28"/>
          <w:lang w:val="en-US"/>
        </w:rPr>
        <w:t>, Candidate of Pedagogical S</w:t>
      </w:r>
      <w:r>
        <w:rPr>
          <w:rFonts w:ascii="Times New Roman" w:hAnsi="Times New Roman" w:cs="Times New Roman"/>
          <w:sz w:val="28"/>
          <w:szCs w:val="28"/>
          <w:lang w:val="en-US"/>
        </w:rPr>
        <w:t>ciences, associate </w:t>
      </w:r>
      <w:r w:rsidRPr="00ED6115">
        <w:rPr>
          <w:rFonts w:ascii="Times New Roman" w:hAnsi="Times New Roman" w:cs="Times New Roman"/>
          <w:sz w:val="28"/>
          <w:szCs w:val="28"/>
          <w:lang w:val="en-US"/>
        </w:rPr>
        <w:t>professor, professor of D</w:t>
      </w:r>
      <w:r>
        <w:rPr>
          <w:rFonts w:ascii="Times New Roman" w:hAnsi="Times New Roman" w:cs="Times New Roman"/>
          <w:sz w:val="28"/>
          <w:szCs w:val="28"/>
          <w:lang w:val="en-US"/>
        </w:rPr>
        <w:t>epartment of</w:t>
      </w:r>
      <w:r w:rsidRPr="00ED6115">
        <w:rPr>
          <w:rFonts w:ascii="Times New Roman" w:hAnsi="Times New Roman" w:cs="Times New Roman"/>
          <w:sz w:val="28"/>
          <w:szCs w:val="28"/>
          <w:lang w:val="en-US"/>
        </w:rPr>
        <w:t xml:space="preserve"> the Russian Language and Literature, doctoral student of Samara State University</w:t>
      </w:r>
    </w:p>
    <w:p w14:paraId="27F17C44" w14:textId="77777777" w:rsidR="00ED6115" w:rsidRPr="00ED6115" w:rsidRDefault="00ED6115" w:rsidP="00ED6115">
      <w:pPr>
        <w:suppressAutoHyphens/>
        <w:spacing w:after="0" w:line="360" w:lineRule="auto"/>
        <w:ind w:firstLine="567"/>
        <w:jc w:val="center"/>
        <w:rPr>
          <w:rFonts w:ascii="Times New Roman" w:hAnsi="Times New Roman" w:cs="Times New Roman"/>
          <w:i/>
          <w:sz w:val="28"/>
          <w:szCs w:val="28"/>
          <w:lang w:val="en-US"/>
        </w:rPr>
      </w:pPr>
      <w:r w:rsidRPr="00ED6115">
        <w:rPr>
          <w:rFonts w:ascii="Times New Roman" w:hAnsi="Times New Roman" w:cs="Times New Roman"/>
          <w:i/>
          <w:sz w:val="28"/>
          <w:szCs w:val="28"/>
          <w:lang w:val="en"/>
        </w:rPr>
        <w:t>Volga State University of Service, Togliatti (Russia)</w:t>
      </w:r>
    </w:p>
    <w:p w14:paraId="7638FA71" w14:textId="77777777" w:rsidR="00ED6115" w:rsidRPr="00ED6115" w:rsidRDefault="00ED6115" w:rsidP="00ED6115">
      <w:pPr>
        <w:suppressAutoHyphens/>
        <w:spacing w:after="0" w:line="360" w:lineRule="auto"/>
        <w:ind w:firstLine="567"/>
        <w:jc w:val="center"/>
        <w:rPr>
          <w:rFonts w:ascii="Times New Roman" w:hAnsi="Times New Roman" w:cs="Times New Roman"/>
          <w:sz w:val="28"/>
          <w:szCs w:val="28"/>
          <w:lang w:val="en-US"/>
        </w:rPr>
      </w:pPr>
      <w:proofErr w:type="spellStart"/>
      <w:r w:rsidRPr="00ED6115">
        <w:rPr>
          <w:rFonts w:ascii="Times New Roman" w:hAnsi="Times New Roman" w:cs="Times New Roman"/>
          <w:b/>
          <w:sz w:val="28"/>
          <w:szCs w:val="28"/>
          <w:lang w:val="en-US"/>
        </w:rPr>
        <w:t>Savina</w:t>
      </w:r>
      <w:proofErr w:type="spellEnd"/>
      <w:r w:rsidRPr="00ED6115">
        <w:rPr>
          <w:rFonts w:ascii="Times New Roman" w:hAnsi="Times New Roman" w:cs="Times New Roman"/>
          <w:b/>
          <w:sz w:val="28"/>
          <w:szCs w:val="28"/>
          <w:lang w:val="en-US"/>
        </w:rPr>
        <w:t xml:space="preserve"> Inna Ivanovna,</w:t>
      </w:r>
      <w:r w:rsidRPr="00ED6115">
        <w:rPr>
          <w:rFonts w:ascii="Times New Roman" w:hAnsi="Times New Roman" w:cs="Times New Roman"/>
          <w:b/>
          <w:i/>
          <w:sz w:val="28"/>
          <w:szCs w:val="28"/>
          <w:lang w:val="en-US"/>
        </w:rPr>
        <w:t xml:space="preserve"> </w:t>
      </w:r>
      <w:r w:rsidRPr="00ED6115">
        <w:rPr>
          <w:rFonts w:ascii="Times New Roman" w:hAnsi="Times New Roman" w:cs="Times New Roman"/>
          <w:sz w:val="28"/>
          <w:szCs w:val="28"/>
          <w:lang w:val="en-US"/>
        </w:rPr>
        <w:t>post-graduate student</w:t>
      </w:r>
    </w:p>
    <w:p w14:paraId="02ECB4AB" w14:textId="77777777" w:rsidR="00ED6115" w:rsidRPr="00ED6115" w:rsidRDefault="00ED6115" w:rsidP="00ED6115">
      <w:pPr>
        <w:suppressAutoHyphens/>
        <w:spacing w:after="0" w:line="360" w:lineRule="auto"/>
        <w:ind w:firstLine="567"/>
        <w:jc w:val="center"/>
        <w:rPr>
          <w:rFonts w:ascii="Times New Roman" w:hAnsi="Times New Roman" w:cs="Times New Roman"/>
          <w:sz w:val="28"/>
          <w:szCs w:val="28"/>
          <w:lang w:val="en-US"/>
        </w:rPr>
      </w:pPr>
      <w:r w:rsidRPr="00ED6115">
        <w:rPr>
          <w:rFonts w:ascii="Times New Roman" w:hAnsi="Times New Roman" w:cs="Times New Roman"/>
          <w:i/>
          <w:sz w:val="28"/>
          <w:szCs w:val="28"/>
          <w:lang w:val="en-US"/>
        </w:rPr>
        <w:t>Ulyanovsk State University, Ulyanovsk (Russia)</w:t>
      </w:r>
    </w:p>
    <w:p w14:paraId="4DDBC216" w14:textId="77777777" w:rsidR="00ED6115" w:rsidRPr="00ED6115" w:rsidRDefault="00ED6115" w:rsidP="00E64DBC">
      <w:pPr>
        <w:spacing w:after="0" w:line="360" w:lineRule="auto"/>
        <w:ind w:firstLine="567"/>
        <w:rPr>
          <w:rFonts w:ascii="Times New Roman" w:hAnsi="Times New Roman" w:cs="Times New Roman"/>
          <w:sz w:val="28"/>
          <w:szCs w:val="28"/>
          <w:lang w:val="en-US"/>
        </w:rPr>
      </w:pPr>
    </w:p>
    <w:p w14:paraId="02B1A828" w14:textId="77777777" w:rsidR="00E64DBC" w:rsidRDefault="00E64DBC" w:rsidP="00ED6115">
      <w:pPr>
        <w:spacing w:after="0" w:line="360" w:lineRule="auto"/>
        <w:ind w:firstLine="567"/>
        <w:jc w:val="both"/>
        <w:rPr>
          <w:rFonts w:ascii="Times New Roman" w:hAnsi="Times New Roman" w:cs="Times New Roman"/>
          <w:sz w:val="28"/>
          <w:szCs w:val="28"/>
        </w:rPr>
      </w:pPr>
      <w:r w:rsidRPr="00ED6115">
        <w:rPr>
          <w:rFonts w:ascii="Times New Roman" w:hAnsi="Times New Roman" w:cs="Times New Roman"/>
          <w:b/>
          <w:sz w:val="28"/>
          <w:szCs w:val="28"/>
        </w:rPr>
        <w:t>Аннотация</w:t>
      </w:r>
      <w:r w:rsidRPr="00E64DBC">
        <w:rPr>
          <w:rFonts w:ascii="Times New Roman" w:hAnsi="Times New Roman" w:cs="Times New Roman"/>
          <w:sz w:val="28"/>
          <w:szCs w:val="28"/>
        </w:rPr>
        <w:t>. Побуждение магистрантов эко</w:t>
      </w:r>
      <w:r w:rsidR="00ED6115">
        <w:rPr>
          <w:rFonts w:ascii="Times New Roman" w:hAnsi="Times New Roman" w:cs="Times New Roman"/>
          <w:sz w:val="28"/>
          <w:szCs w:val="28"/>
        </w:rPr>
        <w:t>номических направлений к инновационной деятельности наибо</w:t>
      </w:r>
      <w:r w:rsidRPr="00E64DBC">
        <w:rPr>
          <w:rFonts w:ascii="Times New Roman" w:hAnsi="Times New Roman" w:cs="Times New Roman"/>
          <w:sz w:val="28"/>
          <w:szCs w:val="28"/>
        </w:rPr>
        <w:t>лее эффективно в рамках спроектированной в образовательном учреждении инновационно-ориентированной учебно-иссле</w:t>
      </w:r>
      <w:r w:rsidRPr="00E64DBC">
        <w:rPr>
          <w:rFonts w:ascii="Times New Roman" w:hAnsi="Times New Roman" w:cs="Times New Roman"/>
          <w:sz w:val="28"/>
          <w:szCs w:val="28"/>
        </w:rPr>
        <w:lastRenderedPageBreak/>
        <w:t>довательской среды, обеспечивающей решение профессиональ</w:t>
      </w:r>
      <w:r w:rsidR="00ED6115">
        <w:rPr>
          <w:rFonts w:ascii="Times New Roman" w:hAnsi="Times New Roman" w:cs="Times New Roman"/>
          <w:sz w:val="28"/>
          <w:szCs w:val="28"/>
        </w:rPr>
        <w:t>ных и инновационных задач в под</w:t>
      </w:r>
      <w:r w:rsidRPr="00E64DBC">
        <w:rPr>
          <w:rFonts w:ascii="Times New Roman" w:hAnsi="Times New Roman" w:cs="Times New Roman"/>
          <w:sz w:val="28"/>
          <w:szCs w:val="28"/>
        </w:rPr>
        <w:t xml:space="preserve">готовке будущих магистров экономики. Под инновациями мы рассматриваем </w:t>
      </w:r>
      <w:r w:rsidR="00ED6115">
        <w:rPr>
          <w:rFonts w:ascii="Times New Roman" w:hAnsi="Times New Roman" w:cs="Times New Roman"/>
          <w:sz w:val="28"/>
          <w:szCs w:val="28"/>
        </w:rPr>
        <w:t>не только разработки и изобрете</w:t>
      </w:r>
      <w:r w:rsidRPr="00E64DBC">
        <w:rPr>
          <w:rFonts w:ascii="Times New Roman" w:hAnsi="Times New Roman" w:cs="Times New Roman"/>
          <w:sz w:val="28"/>
          <w:szCs w:val="28"/>
        </w:rPr>
        <w:t>ния, но и значительный комплексный процесс, который движим именно людьми, следовательно, задач</w:t>
      </w:r>
      <w:r w:rsidR="00ED6115">
        <w:rPr>
          <w:rFonts w:ascii="Times New Roman" w:hAnsi="Times New Roman" w:cs="Times New Roman"/>
          <w:sz w:val="28"/>
          <w:szCs w:val="28"/>
        </w:rPr>
        <w:t>а кадро</w:t>
      </w:r>
      <w:r w:rsidRPr="00E64DBC">
        <w:rPr>
          <w:rFonts w:ascii="Times New Roman" w:hAnsi="Times New Roman" w:cs="Times New Roman"/>
          <w:sz w:val="28"/>
          <w:szCs w:val="28"/>
        </w:rPr>
        <w:t xml:space="preserve">вого обеспечения инновационной деятельности принимает достаточно актуальный характер. Без </w:t>
      </w:r>
      <w:hyperlink r:id="rId4" w:history="1">
        <w:r w:rsidRPr="008E7AF6">
          <w:rPr>
            <w:rFonts w:ascii="Times New Roman" w:hAnsi="Times New Roman" w:cs="Times New Roman"/>
            <w:sz w:val="28"/>
            <w:szCs w:val="28"/>
          </w:rPr>
          <w:t>грамотного</w:t>
        </w:r>
      </w:hyperlink>
      <w:r w:rsidRPr="00E64DBC">
        <w:rPr>
          <w:rFonts w:ascii="Times New Roman" w:hAnsi="Times New Roman" w:cs="Times New Roman"/>
          <w:sz w:val="28"/>
          <w:szCs w:val="28"/>
        </w:rPr>
        <w:t>, высококвалифицированного кадрового состава не осуществить достаточн</w:t>
      </w:r>
      <w:r w:rsidR="00ED6115">
        <w:rPr>
          <w:rFonts w:ascii="Times New Roman" w:hAnsi="Times New Roman" w:cs="Times New Roman"/>
          <w:sz w:val="28"/>
          <w:szCs w:val="28"/>
        </w:rPr>
        <w:t>ого прогресса в формировании лю</w:t>
      </w:r>
      <w:r w:rsidRPr="00E64DBC">
        <w:rPr>
          <w:rFonts w:ascii="Times New Roman" w:hAnsi="Times New Roman" w:cs="Times New Roman"/>
          <w:sz w:val="28"/>
          <w:szCs w:val="28"/>
        </w:rPr>
        <w:t>бого хозяйствующего субъекта. Акцент в процессе обучения делается на специфику работы с инновациями, коммерциализации новых идей, защите интеллектуальной собственности. В настоящее время, современному производству требуется не просто экономист, а высококлассный професси</w:t>
      </w:r>
      <w:r w:rsidR="008E7AF6">
        <w:rPr>
          <w:rFonts w:ascii="Times New Roman" w:hAnsi="Times New Roman" w:cs="Times New Roman"/>
          <w:sz w:val="28"/>
          <w:szCs w:val="28"/>
        </w:rPr>
        <w:t>онал, владеющий технологиями ин</w:t>
      </w:r>
      <w:r w:rsidRPr="00E64DBC">
        <w:rPr>
          <w:rFonts w:ascii="Times New Roman" w:hAnsi="Times New Roman" w:cs="Times New Roman"/>
          <w:sz w:val="28"/>
          <w:szCs w:val="28"/>
        </w:rPr>
        <w:t>новационной деятельности и соответствующими профессиональными ком</w:t>
      </w:r>
      <w:r w:rsidR="00ED6115">
        <w:rPr>
          <w:rFonts w:ascii="Times New Roman" w:hAnsi="Times New Roman" w:cs="Times New Roman"/>
          <w:sz w:val="28"/>
          <w:szCs w:val="28"/>
        </w:rPr>
        <w:t>петенциями. Изначальное формиро</w:t>
      </w:r>
      <w:r w:rsidRPr="00E64DBC">
        <w:rPr>
          <w:rFonts w:ascii="Times New Roman" w:hAnsi="Times New Roman" w:cs="Times New Roman"/>
          <w:sz w:val="28"/>
          <w:szCs w:val="28"/>
        </w:rPr>
        <w:t>вание готовности к любой деятельности необходимо для успешного выполн</w:t>
      </w:r>
      <w:r w:rsidR="00ED6115">
        <w:rPr>
          <w:rFonts w:ascii="Times New Roman" w:hAnsi="Times New Roman" w:cs="Times New Roman"/>
          <w:sz w:val="28"/>
          <w:szCs w:val="28"/>
        </w:rPr>
        <w:t>ения этой деятельности. Стремле</w:t>
      </w:r>
      <w:r w:rsidRPr="00E64DBC">
        <w:rPr>
          <w:rFonts w:ascii="Times New Roman" w:hAnsi="Times New Roman" w:cs="Times New Roman"/>
          <w:sz w:val="28"/>
          <w:szCs w:val="28"/>
        </w:rPr>
        <w:t>ние к профессиональной деятельности можно рассматривать как професси</w:t>
      </w:r>
      <w:r w:rsidR="008E7AF6">
        <w:rPr>
          <w:rFonts w:ascii="Times New Roman" w:hAnsi="Times New Roman" w:cs="Times New Roman"/>
          <w:sz w:val="28"/>
          <w:szCs w:val="28"/>
        </w:rPr>
        <w:t>онально и личностно значимые ка</w:t>
      </w:r>
      <w:r w:rsidRPr="00E64DBC">
        <w:rPr>
          <w:rFonts w:ascii="Times New Roman" w:hAnsi="Times New Roman" w:cs="Times New Roman"/>
          <w:sz w:val="28"/>
          <w:szCs w:val="28"/>
        </w:rPr>
        <w:t>чества магистра, как знания и умения в конкретной области. Процесс готовн</w:t>
      </w:r>
      <w:r w:rsidR="00ED6115">
        <w:rPr>
          <w:rFonts w:ascii="Times New Roman" w:hAnsi="Times New Roman" w:cs="Times New Roman"/>
          <w:sz w:val="28"/>
          <w:szCs w:val="28"/>
        </w:rPr>
        <w:t>ости к профессиональной деятель</w:t>
      </w:r>
      <w:r w:rsidRPr="00E64DBC">
        <w:rPr>
          <w:rFonts w:ascii="Times New Roman" w:hAnsi="Times New Roman" w:cs="Times New Roman"/>
          <w:sz w:val="28"/>
          <w:szCs w:val="28"/>
        </w:rPr>
        <w:t xml:space="preserve">ности – это последовательный процесс, в результате которого происходит </w:t>
      </w:r>
      <w:r w:rsidR="00ED6115">
        <w:rPr>
          <w:rFonts w:ascii="Times New Roman" w:hAnsi="Times New Roman" w:cs="Times New Roman"/>
          <w:sz w:val="28"/>
          <w:szCs w:val="28"/>
        </w:rPr>
        <w:t>овладение магистрантом некоторы</w:t>
      </w:r>
      <w:r w:rsidRPr="00E64DBC">
        <w:rPr>
          <w:rFonts w:ascii="Times New Roman" w:hAnsi="Times New Roman" w:cs="Times New Roman"/>
          <w:sz w:val="28"/>
          <w:szCs w:val="28"/>
        </w:rPr>
        <w:t>ми представлениями о своей будущей профессиональной деятельности, зна</w:t>
      </w:r>
      <w:r w:rsidR="00ED6115">
        <w:rPr>
          <w:rFonts w:ascii="Times New Roman" w:hAnsi="Times New Roman" w:cs="Times New Roman"/>
          <w:sz w:val="28"/>
          <w:szCs w:val="28"/>
        </w:rPr>
        <w:t>ниями, умениями и навыками необ</w:t>
      </w:r>
      <w:r w:rsidRPr="00E64DBC">
        <w:rPr>
          <w:rFonts w:ascii="Times New Roman" w:hAnsi="Times New Roman" w:cs="Times New Roman"/>
          <w:sz w:val="28"/>
          <w:szCs w:val="28"/>
        </w:rPr>
        <w:t>ходимыми для успешного выполнения профессиональных требований. Главным субъектом инновационной деятельности магистратуры является сам преподаватель, который оказывает непосредственное влияние на учебные процессы. Непременным условием повышения подготовки магистров экономических направлений служит привлечение к участию в инновационной деятельности и, тем самы</w:t>
      </w:r>
      <w:r w:rsidR="00ED6115">
        <w:rPr>
          <w:rFonts w:ascii="Times New Roman" w:hAnsi="Times New Roman" w:cs="Times New Roman"/>
          <w:sz w:val="28"/>
          <w:szCs w:val="28"/>
        </w:rPr>
        <w:t>м, повышение инновационной куль</w:t>
      </w:r>
      <w:r w:rsidRPr="00E64DBC">
        <w:rPr>
          <w:rFonts w:ascii="Times New Roman" w:hAnsi="Times New Roman" w:cs="Times New Roman"/>
          <w:sz w:val="28"/>
          <w:szCs w:val="28"/>
        </w:rPr>
        <w:t>туры профессорско-преподавательского состава, которое может осущест</w:t>
      </w:r>
      <w:r w:rsidR="00ED6115">
        <w:rPr>
          <w:rFonts w:ascii="Times New Roman" w:hAnsi="Times New Roman" w:cs="Times New Roman"/>
          <w:sz w:val="28"/>
          <w:szCs w:val="28"/>
        </w:rPr>
        <w:t>вляться в процессе самообразова</w:t>
      </w:r>
      <w:r w:rsidRPr="00E64DBC">
        <w:rPr>
          <w:rFonts w:ascii="Times New Roman" w:hAnsi="Times New Roman" w:cs="Times New Roman"/>
          <w:sz w:val="28"/>
          <w:szCs w:val="28"/>
        </w:rPr>
        <w:t>тельной и научной деятельности.</w:t>
      </w:r>
    </w:p>
    <w:p w14:paraId="748CA8B2" w14:textId="77777777" w:rsidR="00E64DBC" w:rsidRDefault="00E64DBC" w:rsidP="00ED6115">
      <w:pPr>
        <w:spacing w:after="0" w:line="360" w:lineRule="auto"/>
        <w:ind w:firstLine="567"/>
        <w:jc w:val="both"/>
        <w:rPr>
          <w:rFonts w:ascii="Times New Roman" w:hAnsi="Times New Roman" w:cs="Times New Roman"/>
          <w:sz w:val="28"/>
          <w:szCs w:val="28"/>
        </w:rPr>
      </w:pPr>
    </w:p>
    <w:p w14:paraId="5330AE46" w14:textId="77777777" w:rsidR="00ED6115" w:rsidRPr="00ED6115" w:rsidRDefault="00ED6115" w:rsidP="00ED6115">
      <w:pPr>
        <w:spacing w:after="0" w:line="360" w:lineRule="auto"/>
        <w:ind w:firstLine="567"/>
        <w:jc w:val="both"/>
        <w:rPr>
          <w:rFonts w:ascii="Times New Roman" w:hAnsi="Times New Roman" w:cs="Times New Roman"/>
          <w:sz w:val="28"/>
          <w:szCs w:val="28"/>
          <w:lang w:val="en"/>
        </w:rPr>
      </w:pPr>
      <w:r w:rsidRPr="00ED6115">
        <w:rPr>
          <w:rFonts w:ascii="Times New Roman" w:hAnsi="Times New Roman" w:cs="Times New Roman"/>
          <w:b/>
          <w:sz w:val="28"/>
          <w:szCs w:val="28"/>
          <w:lang w:val="en-US"/>
        </w:rPr>
        <w:t>Abstract.</w:t>
      </w:r>
      <w:r w:rsidRPr="00ED6115">
        <w:rPr>
          <w:rFonts w:ascii="Times New Roman" w:hAnsi="Times New Roman" w:cs="Times New Roman"/>
          <w:sz w:val="28"/>
          <w:szCs w:val="28"/>
          <w:lang w:val="en-US"/>
        </w:rPr>
        <w:t xml:space="preserve"> The motivation of </w:t>
      </w:r>
      <w:r w:rsidRPr="00ED6115">
        <w:rPr>
          <w:rFonts w:ascii="Times New Roman" w:hAnsi="Times New Roman" w:cs="Times New Roman"/>
          <w:sz w:val="28"/>
          <w:szCs w:val="28"/>
          <w:lang w:val="en"/>
        </w:rPr>
        <w:t>undergraduates</w:t>
      </w:r>
      <w:r w:rsidRPr="00ED6115">
        <w:rPr>
          <w:rFonts w:ascii="Times New Roman" w:hAnsi="Times New Roman" w:cs="Times New Roman"/>
          <w:sz w:val="28"/>
          <w:szCs w:val="28"/>
          <w:lang w:val="en-US"/>
        </w:rPr>
        <w:t xml:space="preserve"> of Economics to innovation is most effective within the framework designed in innovation-oriented learning and research </w:t>
      </w:r>
      <w:r w:rsidRPr="00ED6115">
        <w:rPr>
          <w:rFonts w:ascii="Times New Roman" w:hAnsi="Times New Roman" w:cs="Times New Roman"/>
          <w:sz w:val="28"/>
          <w:szCs w:val="28"/>
          <w:lang w:val="en-US"/>
        </w:rPr>
        <w:lastRenderedPageBreak/>
        <w:t xml:space="preserve">environment of an educational institution conducive for the solution of professional and innovative tasks in the training of future masters of the economy. </w:t>
      </w:r>
      <w:r w:rsidRPr="00ED6115">
        <w:rPr>
          <w:rFonts w:ascii="Times New Roman" w:hAnsi="Times New Roman" w:cs="Times New Roman"/>
          <w:sz w:val="28"/>
          <w:szCs w:val="28"/>
          <w:lang w:val="en"/>
        </w:rPr>
        <w:t xml:space="preserve">By innovation, we consider not only the design and invention, but also a significant complex process that is driven by people, hence, the problem of staffing innovative activity takes quite relevant. It is </w:t>
      </w:r>
      <w:r w:rsidRPr="00ED6115">
        <w:rPr>
          <w:rFonts w:ascii="Times New Roman" w:hAnsi="Times New Roman" w:cs="Times New Roman"/>
          <w:sz w:val="28"/>
          <w:szCs w:val="28"/>
          <w:lang w:val="en-US"/>
        </w:rPr>
        <w:t xml:space="preserve">not to make sufficient progress in the formation of any business entity without competent, qualified personnel. The emphasis in training is on the specifics of working with innovation, commercialization of new ideas, and the protection of intellectual property. </w:t>
      </w:r>
      <w:r w:rsidRPr="00ED6115">
        <w:rPr>
          <w:rFonts w:ascii="Times New Roman" w:hAnsi="Times New Roman" w:cs="Times New Roman"/>
          <w:sz w:val="28"/>
          <w:szCs w:val="28"/>
          <w:lang w:val="en"/>
        </w:rPr>
        <w:t>Nowadays, modern production requires not just an economist, but the highly skilled professional owning technology innovation and relevant professional competencies.</w:t>
      </w:r>
      <w:r w:rsidRPr="00ED6115">
        <w:rPr>
          <w:rFonts w:ascii="Times New Roman" w:hAnsi="Times New Roman" w:cs="Times New Roman"/>
          <w:sz w:val="28"/>
          <w:szCs w:val="28"/>
          <w:lang w:val="en-US"/>
        </w:rPr>
        <w:t xml:space="preserve"> The initial formation of readiness for any activity is necessary for the successful implementation of this activity. The pursuit of professional activities can be regarded as professionally and personally important qualities of a master, as knowledge and skills in a </w:t>
      </w:r>
      <w:proofErr w:type="gramStart"/>
      <w:r w:rsidRPr="00ED6115">
        <w:rPr>
          <w:rFonts w:ascii="Times New Roman" w:hAnsi="Times New Roman" w:cs="Times New Roman"/>
          <w:sz w:val="28"/>
          <w:szCs w:val="28"/>
          <w:lang w:val="en-US"/>
        </w:rPr>
        <w:t>particular area</w:t>
      </w:r>
      <w:proofErr w:type="gramEnd"/>
      <w:r w:rsidRPr="00ED6115">
        <w:rPr>
          <w:rFonts w:ascii="Times New Roman" w:hAnsi="Times New Roman" w:cs="Times New Roman"/>
          <w:sz w:val="28"/>
          <w:szCs w:val="28"/>
          <w:lang w:val="en-US"/>
        </w:rPr>
        <w:t xml:space="preserve">. The process of readiness for professional activity is a sequential process, resulting in the acquisition of some ideas about their future careers, knowledge, skills and abilities needed to successfully complete the professional requirements. </w:t>
      </w:r>
      <w:r w:rsidRPr="00ED6115">
        <w:rPr>
          <w:rFonts w:ascii="Times New Roman" w:hAnsi="Times New Roman" w:cs="Times New Roman"/>
          <w:sz w:val="28"/>
          <w:szCs w:val="28"/>
          <w:lang w:val="en"/>
        </w:rPr>
        <w:t xml:space="preserve">The main subject of innovation of Magistracy is a lecturer himself who has a direct impact on teaching and learning processes. </w:t>
      </w:r>
      <w:r w:rsidRPr="00ED6115">
        <w:rPr>
          <w:rFonts w:ascii="Times New Roman" w:hAnsi="Times New Roman" w:cs="Times New Roman"/>
          <w:sz w:val="28"/>
          <w:szCs w:val="28"/>
          <w:lang w:val="en-US"/>
        </w:rPr>
        <w:t xml:space="preserve">An essential condition for improving the training of masters in Economics is involved in innovation and, thereby, enhancing the innovative culture of the faculty, which may be in the process of self-educational and </w:t>
      </w:r>
      <w:r w:rsidRPr="00ED6115">
        <w:rPr>
          <w:rFonts w:ascii="Times New Roman" w:hAnsi="Times New Roman" w:cs="Times New Roman"/>
          <w:sz w:val="28"/>
          <w:szCs w:val="28"/>
          <w:lang w:val="en"/>
        </w:rPr>
        <w:t xml:space="preserve">research </w:t>
      </w:r>
      <w:r w:rsidRPr="00ED6115">
        <w:rPr>
          <w:rFonts w:ascii="Times New Roman" w:hAnsi="Times New Roman" w:cs="Times New Roman"/>
          <w:sz w:val="28"/>
          <w:szCs w:val="28"/>
          <w:lang w:val="en-US"/>
        </w:rPr>
        <w:t>activities.</w:t>
      </w:r>
      <w:r w:rsidRPr="00ED6115">
        <w:rPr>
          <w:rFonts w:ascii="Times New Roman" w:hAnsi="Times New Roman" w:cs="Times New Roman"/>
          <w:sz w:val="28"/>
          <w:szCs w:val="28"/>
          <w:lang w:val="en"/>
        </w:rPr>
        <w:t xml:space="preserve"> </w:t>
      </w:r>
    </w:p>
    <w:p w14:paraId="0D9A9CB5" w14:textId="77777777" w:rsidR="00ED6115" w:rsidRPr="00ED6115" w:rsidRDefault="00ED6115" w:rsidP="00ED6115">
      <w:pPr>
        <w:spacing w:after="0" w:line="360" w:lineRule="auto"/>
        <w:ind w:firstLine="567"/>
        <w:jc w:val="both"/>
        <w:rPr>
          <w:rFonts w:ascii="Times New Roman" w:hAnsi="Times New Roman" w:cs="Times New Roman"/>
          <w:sz w:val="28"/>
          <w:szCs w:val="28"/>
          <w:lang w:val="en-US"/>
        </w:rPr>
      </w:pPr>
    </w:p>
    <w:p w14:paraId="7F7A8718" w14:textId="77777777" w:rsidR="00E64DBC" w:rsidRDefault="00E64DBC" w:rsidP="00ED6115">
      <w:pPr>
        <w:spacing w:after="0" w:line="360" w:lineRule="auto"/>
        <w:ind w:firstLine="567"/>
        <w:jc w:val="both"/>
        <w:rPr>
          <w:rFonts w:ascii="Times New Roman" w:hAnsi="Times New Roman" w:cs="Times New Roman"/>
          <w:sz w:val="28"/>
          <w:szCs w:val="28"/>
        </w:rPr>
      </w:pPr>
      <w:r w:rsidRPr="00ED6115">
        <w:rPr>
          <w:rFonts w:ascii="Times New Roman" w:hAnsi="Times New Roman" w:cs="Times New Roman"/>
          <w:b/>
          <w:sz w:val="28"/>
          <w:szCs w:val="28"/>
        </w:rPr>
        <w:t>Ключевые слова</w:t>
      </w:r>
      <w:r w:rsidRPr="00E64DBC">
        <w:rPr>
          <w:rFonts w:ascii="Times New Roman" w:hAnsi="Times New Roman" w:cs="Times New Roman"/>
          <w:sz w:val="28"/>
          <w:szCs w:val="28"/>
        </w:rPr>
        <w:t xml:space="preserve">: образование, </w:t>
      </w:r>
      <w:hyperlink r:id="rId5" w:history="1">
        <w:r w:rsidRPr="008E7AF6">
          <w:rPr>
            <w:rFonts w:ascii="Times New Roman" w:hAnsi="Times New Roman" w:cs="Times New Roman"/>
            <w:sz w:val="28"/>
            <w:szCs w:val="28"/>
          </w:rPr>
          <w:t>магистратура</w:t>
        </w:r>
      </w:hyperlink>
      <w:r w:rsidRPr="00E64DBC">
        <w:rPr>
          <w:rFonts w:ascii="Times New Roman" w:hAnsi="Times New Roman" w:cs="Times New Roman"/>
          <w:sz w:val="28"/>
          <w:szCs w:val="28"/>
        </w:rPr>
        <w:t>, задачи, подготовка магист</w:t>
      </w:r>
      <w:r w:rsidR="00ED6115">
        <w:rPr>
          <w:rFonts w:ascii="Times New Roman" w:hAnsi="Times New Roman" w:cs="Times New Roman"/>
          <w:sz w:val="28"/>
          <w:szCs w:val="28"/>
        </w:rPr>
        <w:t>ров, двухуровневая система обра</w:t>
      </w:r>
      <w:r w:rsidRPr="00E64DBC">
        <w:rPr>
          <w:rFonts w:ascii="Times New Roman" w:hAnsi="Times New Roman" w:cs="Times New Roman"/>
          <w:sz w:val="28"/>
          <w:szCs w:val="28"/>
        </w:rPr>
        <w:t>зов</w:t>
      </w:r>
      <w:bookmarkStart w:id="0" w:name="_GoBack"/>
      <w:bookmarkEnd w:id="0"/>
      <w:r w:rsidRPr="00E64DBC">
        <w:rPr>
          <w:rFonts w:ascii="Times New Roman" w:hAnsi="Times New Roman" w:cs="Times New Roman"/>
          <w:sz w:val="28"/>
          <w:szCs w:val="28"/>
        </w:rPr>
        <w:t>ания, высшее образование, экономическое направление, инновационно</w:t>
      </w:r>
      <w:r w:rsidR="00ED6115">
        <w:rPr>
          <w:rFonts w:ascii="Times New Roman" w:hAnsi="Times New Roman" w:cs="Times New Roman"/>
          <w:sz w:val="28"/>
          <w:szCs w:val="28"/>
        </w:rPr>
        <w:t>-ориентированная модель, иннова</w:t>
      </w:r>
      <w:r w:rsidRPr="00E64DBC">
        <w:rPr>
          <w:rFonts w:ascii="Times New Roman" w:hAnsi="Times New Roman" w:cs="Times New Roman"/>
          <w:sz w:val="28"/>
          <w:szCs w:val="28"/>
        </w:rPr>
        <w:t xml:space="preserve">ционная деятельность, субъект инновационной деятельности, модель, магистр.  </w:t>
      </w:r>
    </w:p>
    <w:p w14:paraId="1A9D9E87" w14:textId="77777777" w:rsidR="00ED6115" w:rsidRPr="00ED6115" w:rsidRDefault="00ED6115" w:rsidP="00ED6115">
      <w:pPr>
        <w:spacing w:after="0" w:line="360" w:lineRule="auto"/>
        <w:ind w:firstLine="567"/>
        <w:jc w:val="both"/>
        <w:rPr>
          <w:rFonts w:ascii="Times New Roman" w:hAnsi="Times New Roman" w:cs="Times New Roman"/>
          <w:sz w:val="28"/>
          <w:szCs w:val="28"/>
          <w:lang w:val="en-US"/>
        </w:rPr>
      </w:pPr>
      <w:r w:rsidRPr="00ED6115">
        <w:rPr>
          <w:rFonts w:ascii="Times New Roman" w:hAnsi="Times New Roman" w:cs="Times New Roman"/>
          <w:b/>
          <w:sz w:val="28"/>
          <w:szCs w:val="28"/>
          <w:lang w:val="en-US"/>
        </w:rPr>
        <w:t>Keywords:</w:t>
      </w:r>
      <w:r w:rsidRPr="00ED6115">
        <w:rPr>
          <w:rFonts w:ascii="Times New Roman" w:hAnsi="Times New Roman" w:cs="Times New Roman"/>
          <w:sz w:val="28"/>
          <w:szCs w:val="28"/>
          <w:lang w:val="en-US"/>
        </w:rPr>
        <w:t xml:space="preserve"> education, Master's, tasks, preparation of masters, two-tier system of education, higher education, economic direction, innovation-oriented model, innovation, subject of innovative activity, pattern, Master.</w:t>
      </w:r>
    </w:p>
    <w:p w14:paraId="2BD76FCB" w14:textId="77777777" w:rsidR="00E64DBC" w:rsidRPr="00ED6115" w:rsidRDefault="00E64DBC" w:rsidP="00E64DBC">
      <w:pPr>
        <w:spacing w:after="0" w:line="360" w:lineRule="auto"/>
        <w:ind w:firstLine="567"/>
        <w:rPr>
          <w:rFonts w:ascii="Times New Roman" w:hAnsi="Times New Roman" w:cs="Times New Roman"/>
          <w:sz w:val="28"/>
          <w:szCs w:val="28"/>
          <w:lang w:val="en-US"/>
        </w:rPr>
      </w:pPr>
    </w:p>
    <w:p w14:paraId="02E894EB" w14:textId="77777777" w:rsidR="00ED6115" w:rsidRPr="00ED6115" w:rsidRDefault="00ED6115" w:rsidP="00ED6115">
      <w:pPr>
        <w:spacing w:after="0" w:line="360" w:lineRule="auto"/>
        <w:ind w:firstLine="567"/>
        <w:jc w:val="both"/>
        <w:rPr>
          <w:rFonts w:ascii="Times New Roman" w:hAnsi="Times New Roman" w:cs="Times New Roman"/>
          <w:sz w:val="28"/>
          <w:szCs w:val="28"/>
        </w:rPr>
      </w:pPr>
      <w:r w:rsidRPr="00ED6115">
        <w:rPr>
          <w:rFonts w:ascii="Times New Roman" w:hAnsi="Times New Roman" w:cs="Times New Roman"/>
          <w:i/>
          <w:sz w:val="28"/>
          <w:szCs w:val="28"/>
        </w:rPr>
        <w:lastRenderedPageBreak/>
        <w:t>Постановка проблемы в общем виде и ее связь с важными научными и практическими задачами.</w:t>
      </w:r>
      <w:r w:rsidRPr="00ED6115">
        <w:rPr>
          <w:rFonts w:ascii="Times New Roman" w:hAnsi="Times New Roman" w:cs="Times New Roman"/>
          <w:sz w:val="28"/>
          <w:szCs w:val="28"/>
        </w:rPr>
        <w:t xml:space="preserve"> В настоящее время, как отмечается многими исследователями (И.</w:t>
      </w:r>
      <w:r w:rsidRPr="00ED6115">
        <w:rPr>
          <w:rFonts w:ascii="Times New Roman" w:hAnsi="Times New Roman" w:cs="Times New Roman"/>
          <w:sz w:val="28"/>
          <w:szCs w:val="28"/>
          <w:lang w:val="uk-UA"/>
        </w:rPr>
        <w:t>Б. </w:t>
      </w:r>
      <w:r w:rsidRPr="00ED6115">
        <w:rPr>
          <w:rFonts w:ascii="Times New Roman" w:hAnsi="Times New Roman" w:cs="Times New Roman"/>
          <w:sz w:val="28"/>
          <w:szCs w:val="28"/>
        </w:rPr>
        <w:t xml:space="preserve">Федина [1], </w:t>
      </w:r>
      <w:proofErr w:type="spellStart"/>
      <w:r w:rsidRPr="00ED6115">
        <w:rPr>
          <w:rFonts w:ascii="Times New Roman" w:hAnsi="Times New Roman" w:cs="Times New Roman"/>
          <w:sz w:val="28"/>
          <w:szCs w:val="28"/>
        </w:rPr>
        <w:t>Л.К</w:t>
      </w:r>
      <w:proofErr w:type="spellEnd"/>
      <w:r w:rsidRPr="00ED6115">
        <w:rPr>
          <w:rFonts w:ascii="Times New Roman" w:hAnsi="Times New Roman" w:cs="Times New Roman"/>
          <w:sz w:val="28"/>
          <w:szCs w:val="28"/>
        </w:rPr>
        <w:t>.</w:t>
      </w:r>
      <w:r w:rsidRPr="00ED6115">
        <w:rPr>
          <w:rFonts w:ascii="Times New Roman" w:hAnsi="Times New Roman" w:cs="Times New Roman"/>
          <w:sz w:val="28"/>
          <w:szCs w:val="28"/>
          <w:lang w:val="uk-UA"/>
        </w:rPr>
        <w:t> </w:t>
      </w:r>
      <w:r w:rsidRPr="00ED6115">
        <w:rPr>
          <w:rFonts w:ascii="Times New Roman" w:hAnsi="Times New Roman" w:cs="Times New Roman"/>
          <w:sz w:val="28"/>
          <w:szCs w:val="28"/>
        </w:rPr>
        <w:t xml:space="preserve">Синева [2], </w:t>
      </w:r>
      <w:proofErr w:type="spellStart"/>
      <w:r w:rsidRPr="00ED6115">
        <w:rPr>
          <w:rFonts w:ascii="Times New Roman" w:hAnsi="Times New Roman" w:cs="Times New Roman"/>
          <w:sz w:val="28"/>
          <w:szCs w:val="28"/>
        </w:rPr>
        <w:t>Е.Н</w:t>
      </w:r>
      <w:proofErr w:type="spellEnd"/>
      <w:r w:rsidRPr="00ED6115">
        <w:rPr>
          <w:rFonts w:ascii="Times New Roman" w:hAnsi="Times New Roman" w:cs="Times New Roman"/>
          <w:sz w:val="28"/>
          <w:szCs w:val="28"/>
        </w:rPr>
        <w:t>.</w:t>
      </w:r>
      <w:r w:rsidRPr="00ED6115">
        <w:rPr>
          <w:rFonts w:ascii="Times New Roman" w:hAnsi="Times New Roman" w:cs="Times New Roman"/>
          <w:sz w:val="28"/>
          <w:szCs w:val="28"/>
          <w:lang w:val="uk-UA"/>
        </w:rPr>
        <w:t> </w:t>
      </w:r>
      <w:r w:rsidRPr="00ED6115">
        <w:rPr>
          <w:rFonts w:ascii="Times New Roman" w:hAnsi="Times New Roman" w:cs="Times New Roman"/>
          <w:sz w:val="28"/>
          <w:szCs w:val="28"/>
        </w:rPr>
        <w:t xml:space="preserve">Зотов [3] и </w:t>
      </w:r>
      <w:proofErr w:type="spellStart"/>
      <w:r w:rsidRPr="00ED6115">
        <w:rPr>
          <w:rFonts w:ascii="Times New Roman" w:hAnsi="Times New Roman" w:cs="Times New Roman"/>
          <w:sz w:val="28"/>
          <w:szCs w:val="28"/>
        </w:rPr>
        <w:t>др</w:t>
      </w:r>
      <w:proofErr w:type="spellEnd"/>
      <w:r w:rsidRPr="00ED6115">
        <w:rPr>
          <w:rFonts w:ascii="Times New Roman" w:hAnsi="Times New Roman" w:cs="Times New Roman"/>
          <w:sz w:val="28"/>
          <w:szCs w:val="28"/>
          <w:lang w:val="uk-UA"/>
        </w:rPr>
        <w:t>.</w:t>
      </w:r>
      <w:r w:rsidRPr="00ED6115">
        <w:rPr>
          <w:rFonts w:ascii="Times New Roman" w:hAnsi="Times New Roman" w:cs="Times New Roman"/>
          <w:sz w:val="28"/>
          <w:szCs w:val="28"/>
        </w:rPr>
        <w:t>), все актуальнее становится проблема методики преподавания экономических дисциплин. Мы становимся свидетелями реформирования системы высшего образования, в котором все большее внимание уделяется самостоятельной работе студентов [4, с.</w:t>
      </w:r>
      <w:r w:rsidRPr="00ED6115">
        <w:rPr>
          <w:rFonts w:ascii="Times New Roman" w:hAnsi="Times New Roman" w:cs="Times New Roman"/>
          <w:sz w:val="28"/>
          <w:szCs w:val="28"/>
          <w:lang w:val="uk-UA"/>
        </w:rPr>
        <w:t> </w:t>
      </w:r>
      <w:r w:rsidRPr="00ED6115">
        <w:rPr>
          <w:rFonts w:ascii="Times New Roman" w:hAnsi="Times New Roman" w:cs="Times New Roman"/>
          <w:sz w:val="28"/>
          <w:szCs w:val="28"/>
        </w:rPr>
        <w:t>28; 5, с.</w:t>
      </w:r>
      <w:r w:rsidRPr="00ED6115">
        <w:rPr>
          <w:rFonts w:ascii="Times New Roman" w:hAnsi="Times New Roman" w:cs="Times New Roman"/>
          <w:sz w:val="28"/>
          <w:szCs w:val="28"/>
          <w:lang w:val="uk-UA"/>
        </w:rPr>
        <w:t> </w:t>
      </w:r>
      <w:r w:rsidRPr="00ED6115">
        <w:rPr>
          <w:rFonts w:ascii="Times New Roman" w:hAnsi="Times New Roman" w:cs="Times New Roman"/>
          <w:sz w:val="28"/>
          <w:szCs w:val="28"/>
        </w:rPr>
        <w:t xml:space="preserve">12-13]. Не секрет, что эффективность образовательного процесса во многом определяется методикой преподавания. </w:t>
      </w:r>
    </w:p>
    <w:p w14:paraId="2FA5AA81" w14:textId="77777777" w:rsidR="00ED6115" w:rsidRPr="00ED6115" w:rsidRDefault="00ED6115" w:rsidP="00ED6115">
      <w:pPr>
        <w:spacing w:after="0" w:line="360" w:lineRule="auto"/>
        <w:ind w:firstLine="567"/>
        <w:jc w:val="both"/>
        <w:rPr>
          <w:rFonts w:ascii="Times New Roman" w:hAnsi="Times New Roman" w:cs="Times New Roman"/>
          <w:sz w:val="28"/>
          <w:szCs w:val="28"/>
          <w:lang w:val="uk-UA"/>
        </w:rPr>
      </w:pPr>
      <w:r w:rsidRPr="00ED6115">
        <w:rPr>
          <w:rFonts w:ascii="Times New Roman" w:hAnsi="Times New Roman" w:cs="Times New Roman"/>
          <w:sz w:val="28"/>
          <w:szCs w:val="28"/>
        </w:rPr>
        <w:t xml:space="preserve">Широкое использование унифицированных методов и переход на исключительно тестовый контроль за усвоением студентами предметов изучения формально снижает роль преподавателя в непосредственном процессе обучения [6]. Между тем уровень подготовки и эффективность обучения находятся в прямой зависимости от взаимодействия звена преподаватель – студент. </w:t>
      </w:r>
      <w:r w:rsidRPr="00ED6115">
        <w:rPr>
          <w:rFonts w:ascii="Times New Roman" w:hAnsi="Times New Roman" w:cs="Times New Roman"/>
          <w:sz w:val="28"/>
          <w:szCs w:val="28"/>
          <w:lang w:val="uk-UA"/>
        </w:rPr>
        <w:t xml:space="preserve">ТЕКСТ. ТЕКСТ. ТЕКСТ. </w:t>
      </w:r>
    </w:p>
    <w:p w14:paraId="018AD403" w14:textId="77777777" w:rsidR="00ED6115" w:rsidRPr="00ED6115" w:rsidRDefault="00ED6115" w:rsidP="00ED6115">
      <w:pPr>
        <w:spacing w:after="0" w:line="360" w:lineRule="auto"/>
        <w:ind w:firstLine="567"/>
        <w:jc w:val="both"/>
        <w:rPr>
          <w:rFonts w:ascii="Times New Roman" w:hAnsi="Times New Roman" w:cs="Times New Roman"/>
          <w:sz w:val="28"/>
          <w:szCs w:val="28"/>
          <w:lang w:val="uk-UA"/>
        </w:rPr>
      </w:pPr>
      <w:r w:rsidRPr="00ED6115">
        <w:rPr>
          <w:rFonts w:ascii="Times New Roman" w:hAnsi="Times New Roman" w:cs="Times New Roman"/>
          <w:i/>
          <w:sz w:val="28"/>
          <w:szCs w:val="28"/>
        </w:rPr>
        <w:t>Анализ последних исследований и публикаций, в которых рассматривались аспекты этой проблемы и на которых обосновывается автор; выделение неразрешенных раньше частей общей проблемы.</w:t>
      </w:r>
      <w:r w:rsidRPr="00ED6115">
        <w:rPr>
          <w:rFonts w:ascii="Times New Roman" w:hAnsi="Times New Roman" w:cs="Times New Roman"/>
          <w:sz w:val="28"/>
          <w:szCs w:val="28"/>
          <w:lang w:val="uk-UA"/>
        </w:rPr>
        <w:t xml:space="preserve"> ТЕКСТ. ТЕКСТ. ТЕКСТ. </w:t>
      </w:r>
    </w:p>
    <w:p w14:paraId="45F42399" w14:textId="77777777" w:rsidR="008E7AF6" w:rsidRDefault="00ED6115" w:rsidP="00ED6115">
      <w:pPr>
        <w:spacing w:after="0" w:line="360" w:lineRule="auto"/>
        <w:ind w:firstLine="567"/>
        <w:jc w:val="both"/>
        <w:rPr>
          <w:rFonts w:ascii="Times New Roman" w:hAnsi="Times New Roman" w:cs="Times New Roman"/>
          <w:sz w:val="28"/>
          <w:szCs w:val="28"/>
          <w:lang w:val="uk-UA"/>
        </w:rPr>
      </w:pPr>
      <w:r w:rsidRPr="00ED6115">
        <w:rPr>
          <w:rFonts w:ascii="Times New Roman" w:hAnsi="Times New Roman" w:cs="Times New Roman"/>
          <w:i/>
          <w:sz w:val="28"/>
          <w:szCs w:val="28"/>
        </w:rPr>
        <w:t xml:space="preserve">Формирование целей статьи (постановка задания). </w:t>
      </w:r>
      <w:r w:rsidRPr="00ED6115">
        <w:rPr>
          <w:rFonts w:ascii="Times New Roman" w:hAnsi="Times New Roman" w:cs="Times New Roman"/>
          <w:sz w:val="28"/>
          <w:szCs w:val="28"/>
          <w:lang w:val="uk-UA"/>
        </w:rPr>
        <w:t xml:space="preserve">ТЕКСТ. ТЕКСТ. ТЕКСТ. </w:t>
      </w:r>
    </w:p>
    <w:p w14:paraId="42067A60" w14:textId="77777777" w:rsidR="00ED6115" w:rsidRPr="00ED6115" w:rsidRDefault="00ED6115" w:rsidP="00ED6115">
      <w:pPr>
        <w:spacing w:after="0" w:line="360" w:lineRule="auto"/>
        <w:ind w:firstLine="567"/>
        <w:jc w:val="both"/>
        <w:rPr>
          <w:rFonts w:ascii="Times New Roman" w:hAnsi="Times New Roman" w:cs="Times New Roman"/>
          <w:sz w:val="28"/>
          <w:szCs w:val="28"/>
        </w:rPr>
      </w:pPr>
      <w:r w:rsidRPr="00ED6115">
        <w:rPr>
          <w:rFonts w:ascii="Times New Roman" w:hAnsi="Times New Roman" w:cs="Times New Roman"/>
          <w:i/>
          <w:sz w:val="28"/>
          <w:szCs w:val="28"/>
        </w:rPr>
        <w:t xml:space="preserve">Изложение основного материала исследования с полным обоснованием полученных научных результатов. </w:t>
      </w:r>
      <w:r w:rsidRPr="00ED6115">
        <w:rPr>
          <w:rFonts w:ascii="Times New Roman" w:hAnsi="Times New Roman" w:cs="Times New Roman"/>
          <w:sz w:val="28"/>
          <w:szCs w:val="28"/>
        </w:rPr>
        <w:t xml:space="preserve">В современном учебном процессе обе стороны должны играть творческую роль. Важно избегать так называемого трафаретного обучения, когда студенты «натаскиваются» на решение определенного типа задач (рисунок 1, таблица 1), а развитие их экономического мышления кладется в жертву числу рассмотренных задач [3, 6, 7]. На рисунке 1 и в таблице 1 представлено применение тестовых заданий на занятиях. </w:t>
      </w:r>
    </w:p>
    <w:p w14:paraId="0D91995B" w14:textId="77777777" w:rsidR="00ED6115" w:rsidRPr="008E7AF6" w:rsidRDefault="00ED6115" w:rsidP="00ED6115">
      <w:pPr>
        <w:spacing w:after="0" w:line="360" w:lineRule="auto"/>
        <w:ind w:firstLine="567"/>
        <w:jc w:val="both"/>
        <w:rPr>
          <w:rFonts w:ascii="Times New Roman" w:hAnsi="Times New Roman" w:cs="Times New Roman"/>
          <w:i/>
          <w:color w:val="808080" w:themeColor="background1" w:themeShade="80"/>
          <w:sz w:val="28"/>
          <w:szCs w:val="28"/>
        </w:rPr>
      </w:pPr>
      <w:r w:rsidRPr="008E7AF6">
        <w:rPr>
          <w:rFonts w:ascii="Times New Roman" w:hAnsi="Times New Roman" w:cs="Times New Roman"/>
          <w:i/>
          <w:color w:val="808080" w:themeColor="background1" w:themeShade="80"/>
          <w:sz w:val="28"/>
          <w:szCs w:val="28"/>
        </w:rPr>
        <w:t>(ссылки на таблицы и рисунки обязательны)</w:t>
      </w:r>
    </w:p>
    <w:p w14:paraId="25B501CA" w14:textId="77777777" w:rsidR="00ED6115" w:rsidRPr="00ED6115" w:rsidRDefault="00ED6115" w:rsidP="00ED6115">
      <w:pPr>
        <w:spacing w:after="0" w:line="360" w:lineRule="auto"/>
        <w:ind w:firstLine="567"/>
        <w:rPr>
          <w:rFonts w:ascii="Times New Roman" w:hAnsi="Times New Roman" w:cs="Times New Roman"/>
          <w:sz w:val="28"/>
          <w:szCs w:val="28"/>
        </w:rPr>
      </w:pPr>
    </w:p>
    <w:p w14:paraId="2C127208" w14:textId="77777777" w:rsidR="00ED6115" w:rsidRPr="00ED6115" w:rsidRDefault="00ED6115" w:rsidP="008E7AF6">
      <w:pPr>
        <w:spacing w:after="0" w:line="360" w:lineRule="auto"/>
        <w:ind w:firstLine="567"/>
        <w:jc w:val="center"/>
        <w:rPr>
          <w:rFonts w:ascii="Times New Roman" w:hAnsi="Times New Roman" w:cs="Times New Roman"/>
          <w:sz w:val="28"/>
          <w:szCs w:val="28"/>
        </w:rPr>
      </w:pPr>
      <w:r w:rsidRPr="00ED6115">
        <w:rPr>
          <w:rFonts w:ascii="Times New Roman" w:hAnsi="Times New Roman" w:cs="Times New Roman"/>
          <w:sz w:val="28"/>
          <w:szCs w:val="28"/>
        </w:rPr>
        <w:lastRenderedPageBreak/>
        <w:drawing>
          <wp:inline distT="0" distB="0" distL="0" distR="0" wp14:anchorId="5DFE377B" wp14:editId="7CA34BE9">
            <wp:extent cx="3510951" cy="2464127"/>
            <wp:effectExtent l="0" t="0" r="0" b="0"/>
            <wp:docPr id="3" name="Рисунок 3" descr="голощап-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лощап-Сним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8806" cy="2469640"/>
                    </a:xfrm>
                    <a:prstGeom prst="rect">
                      <a:avLst/>
                    </a:prstGeom>
                    <a:noFill/>
                    <a:ln>
                      <a:noFill/>
                    </a:ln>
                  </pic:spPr>
                </pic:pic>
              </a:graphicData>
            </a:graphic>
          </wp:inline>
        </w:drawing>
      </w:r>
    </w:p>
    <w:p w14:paraId="5AAD79F7" w14:textId="77777777" w:rsidR="00ED6115" w:rsidRPr="00ED6115" w:rsidRDefault="00ED6115" w:rsidP="00ED6115">
      <w:pPr>
        <w:spacing w:after="0" w:line="360" w:lineRule="auto"/>
        <w:ind w:firstLine="567"/>
        <w:jc w:val="center"/>
        <w:rPr>
          <w:rFonts w:ascii="Times New Roman" w:hAnsi="Times New Roman" w:cs="Times New Roman"/>
          <w:sz w:val="28"/>
          <w:szCs w:val="28"/>
        </w:rPr>
      </w:pPr>
      <w:r w:rsidRPr="00ED6115">
        <w:rPr>
          <w:rFonts w:ascii="Times New Roman" w:hAnsi="Times New Roman" w:cs="Times New Roman"/>
          <w:sz w:val="28"/>
          <w:szCs w:val="28"/>
        </w:rPr>
        <w:t>Рисунок 1 - Уровень применения тестовых заданий на занятиях</w:t>
      </w:r>
    </w:p>
    <w:p w14:paraId="4C2CE97F" w14:textId="77777777" w:rsidR="00ED6115" w:rsidRPr="008E7AF6" w:rsidRDefault="00ED6115" w:rsidP="008E7AF6">
      <w:pPr>
        <w:spacing w:after="0" w:line="360" w:lineRule="auto"/>
        <w:ind w:firstLine="567"/>
        <w:jc w:val="both"/>
        <w:rPr>
          <w:rFonts w:ascii="Times New Roman" w:hAnsi="Times New Roman" w:cs="Times New Roman"/>
          <w:i/>
          <w:color w:val="808080" w:themeColor="background1" w:themeShade="80"/>
          <w:sz w:val="28"/>
          <w:szCs w:val="28"/>
        </w:rPr>
      </w:pPr>
      <w:r w:rsidRPr="008E7AF6">
        <w:rPr>
          <w:rFonts w:ascii="Times New Roman" w:hAnsi="Times New Roman" w:cs="Times New Roman"/>
          <w:i/>
          <w:color w:val="808080" w:themeColor="background1" w:themeShade="80"/>
          <w:sz w:val="28"/>
          <w:szCs w:val="28"/>
        </w:rPr>
        <w:t>(размещается под рисунком, по центру – ГОСТ 2.105-95)</w:t>
      </w:r>
    </w:p>
    <w:p w14:paraId="72069522" w14:textId="77777777" w:rsidR="00ED6115" w:rsidRPr="00ED6115" w:rsidRDefault="00ED6115" w:rsidP="00ED6115">
      <w:pPr>
        <w:spacing w:after="0" w:line="360" w:lineRule="auto"/>
        <w:ind w:firstLine="567"/>
        <w:rPr>
          <w:rFonts w:ascii="Times New Roman" w:hAnsi="Times New Roman" w:cs="Times New Roman"/>
          <w:sz w:val="28"/>
          <w:szCs w:val="28"/>
        </w:rPr>
      </w:pPr>
    </w:p>
    <w:p w14:paraId="01943E0E" w14:textId="77777777" w:rsidR="00ED6115" w:rsidRPr="00ED6115" w:rsidRDefault="00ED6115" w:rsidP="008E7AF6">
      <w:pPr>
        <w:spacing w:after="0" w:line="360" w:lineRule="auto"/>
        <w:jc w:val="both"/>
        <w:rPr>
          <w:rFonts w:ascii="Times New Roman" w:hAnsi="Times New Roman" w:cs="Times New Roman"/>
          <w:b/>
          <w:bCs/>
          <w:sz w:val="28"/>
          <w:szCs w:val="28"/>
        </w:rPr>
      </w:pPr>
      <w:r w:rsidRPr="00ED6115">
        <w:rPr>
          <w:rFonts w:ascii="Times New Roman" w:hAnsi="Times New Roman" w:cs="Times New Roman"/>
          <w:sz w:val="28"/>
          <w:szCs w:val="28"/>
        </w:rPr>
        <w:t>Таблица 1 - Использование тестовых заданий по разделам обучения</w:t>
      </w:r>
      <w:r w:rsidRPr="00ED6115">
        <w:rPr>
          <w:rFonts w:ascii="Times New Roman" w:hAnsi="Times New Roman" w:cs="Times New Roman"/>
          <w:b/>
          <w:bCs/>
          <w:sz w:val="28"/>
          <w:szCs w:val="28"/>
        </w:rPr>
        <w:t> </w:t>
      </w:r>
    </w:p>
    <w:p w14:paraId="2F1D4693" w14:textId="77777777" w:rsidR="00ED6115" w:rsidRPr="008E7AF6" w:rsidRDefault="00ED6115" w:rsidP="008E7AF6">
      <w:pPr>
        <w:spacing w:after="0" w:line="360" w:lineRule="auto"/>
        <w:ind w:firstLine="567"/>
        <w:jc w:val="both"/>
        <w:rPr>
          <w:rFonts w:ascii="Times New Roman" w:hAnsi="Times New Roman" w:cs="Times New Roman"/>
          <w:i/>
          <w:color w:val="808080" w:themeColor="background1" w:themeShade="80"/>
          <w:sz w:val="28"/>
          <w:szCs w:val="28"/>
        </w:rPr>
      </w:pPr>
      <w:r w:rsidRPr="008E7AF6">
        <w:rPr>
          <w:rFonts w:ascii="Times New Roman" w:hAnsi="Times New Roman" w:cs="Times New Roman"/>
          <w:i/>
          <w:color w:val="808080" w:themeColor="background1" w:themeShade="80"/>
          <w:sz w:val="28"/>
          <w:szCs w:val="28"/>
        </w:rPr>
        <w:t>(размещается над таблицей, слева – ГОСТ 2.105-95)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2"/>
        <w:gridCol w:w="1204"/>
        <w:gridCol w:w="1204"/>
        <w:gridCol w:w="1204"/>
        <w:gridCol w:w="1204"/>
        <w:gridCol w:w="1204"/>
        <w:gridCol w:w="1204"/>
      </w:tblGrid>
      <w:tr w:rsidR="00ED6115" w:rsidRPr="00ED6115" w14:paraId="1D5EB58A" w14:textId="77777777" w:rsidTr="00FE7C37">
        <w:tc>
          <w:tcPr>
            <w:tcW w:w="1231" w:type="dxa"/>
          </w:tcPr>
          <w:p w14:paraId="112944AE"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1" w:type="dxa"/>
          </w:tcPr>
          <w:p w14:paraId="773C8CEE"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68F7741E"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782E8979"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2C5CDA59"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013157AF"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5CFD95C3"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076734BC" w14:textId="77777777" w:rsidR="00ED6115" w:rsidRPr="00ED6115" w:rsidRDefault="00ED6115" w:rsidP="00ED6115">
            <w:pPr>
              <w:spacing w:after="0" w:line="360" w:lineRule="auto"/>
              <w:ind w:firstLine="567"/>
              <w:rPr>
                <w:rFonts w:ascii="Times New Roman" w:hAnsi="Times New Roman" w:cs="Times New Roman"/>
                <w:i/>
                <w:sz w:val="28"/>
                <w:szCs w:val="28"/>
              </w:rPr>
            </w:pPr>
          </w:p>
        </w:tc>
      </w:tr>
      <w:tr w:rsidR="00ED6115" w:rsidRPr="00ED6115" w14:paraId="114E3FEB" w14:textId="77777777" w:rsidTr="00FE7C37">
        <w:tc>
          <w:tcPr>
            <w:tcW w:w="1231" w:type="dxa"/>
          </w:tcPr>
          <w:p w14:paraId="55672D2C"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1" w:type="dxa"/>
          </w:tcPr>
          <w:p w14:paraId="723CDA1B"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238837F2"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3BD6F563"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4090B2D4"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0A293D05"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6B169FA9" w14:textId="77777777" w:rsidR="00ED6115" w:rsidRPr="00ED6115" w:rsidRDefault="00ED6115" w:rsidP="00ED6115">
            <w:pPr>
              <w:spacing w:after="0" w:line="360" w:lineRule="auto"/>
              <w:ind w:firstLine="567"/>
              <w:rPr>
                <w:rFonts w:ascii="Times New Roman" w:hAnsi="Times New Roman" w:cs="Times New Roman"/>
                <w:i/>
                <w:sz w:val="28"/>
                <w:szCs w:val="28"/>
              </w:rPr>
            </w:pPr>
          </w:p>
        </w:tc>
        <w:tc>
          <w:tcPr>
            <w:tcW w:w="1232" w:type="dxa"/>
          </w:tcPr>
          <w:p w14:paraId="5DF81519" w14:textId="77777777" w:rsidR="00ED6115" w:rsidRPr="00ED6115" w:rsidRDefault="00ED6115" w:rsidP="00ED6115">
            <w:pPr>
              <w:spacing w:after="0" w:line="360" w:lineRule="auto"/>
              <w:ind w:firstLine="567"/>
              <w:rPr>
                <w:rFonts w:ascii="Times New Roman" w:hAnsi="Times New Roman" w:cs="Times New Roman"/>
                <w:i/>
                <w:sz w:val="28"/>
                <w:szCs w:val="28"/>
              </w:rPr>
            </w:pPr>
          </w:p>
        </w:tc>
      </w:tr>
    </w:tbl>
    <w:p w14:paraId="01F6DA10" w14:textId="77777777" w:rsidR="00ED6115" w:rsidRDefault="00ED6115" w:rsidP="00ED6115">
      <w:pPr>
        <w:spacing w:after="0" w:line="360" w:lineRule="auto"/>
        <w:ind w:firstLine="567"/>
        <w:rPr>
          <w:rFonts w:ascii="Times New Roman" w:hAnsi="Times New Roman" w:cs="Times New Roman"/>
          <w:sz w:val="28"/>
          <w:szCs w:val="28"/>
        </w:rPr>
      </w:pPr>
    </w:p>
    <w:p w14:paraId="76185A6C" w14:textId="77777777" w:rsidR="008E7AF6" w:rsidRPr="00ED6115" w:rsidRDefault="008E7AF6" w:rsidP="008E7A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Списки:</w:t>
      </w:r>
    </w:p>
    <w:p w14:paraId="1F51CD6F" w14:textId="77777777" w:rsidR="00ED6115" w:rsidRPr="00ED6115" w:rsidRDefault="00ED6115" w:rsidP="008E7AF6">
      <w:pPr>
        <w:spacing w:after="0" w:line="360" w:lineRule="auto"/>
        <w:ind w:firstLine="567"/>
        <w:jc w:val="both"/>
        <w:rPr>
          <w:rFonts w:ascii="Times New Roman" w:hAnsi="Times New Roman" w:cs="Times New Roman"/>
          <w:sz w:val="28"/>
          <w:szCs w:val="28"/>
        </w:rPr>
      </w:pPr>
      <w:r w:rsidRPr="00ED6115">
        <w:rPr>
          <w:rFonts w:ascii="Times New Roman" w:hAnsi="Times New Roman" w:cs="Times New Roman"/>
          <w:sz w:val="28"/>
          <w:szCs w:val="28"/>
          <w:lang w:val="uk-UA"/>
        </w:rPr>
        <w:t>–</w:t>
      </w:r>
      <w:r w:rsidRPr="00ED6115">
        <w:rPr>
          <w:rFonts w:ascii="Times New Roman" w:hAnsi="Times New Roman" w:cs="Times New Roman"/>
          <w:sz w:val="28"/>
          <w:szCs w:val="28"/>
        </w:rPr>
        <w:t xml:space="preserve"> (маркер ставится вручную)</w:t>
      </w:r>
    </w:p>
    <w:p w14:paraId="2042F0F8" w14:textId="77777777" w:rsidR="00ED6115" w:rsidRPr="00ED6115" w:rsidRDefault="00ED6115" w:rsidP="008E7AF6">
      <w:pPr>
        <w:spacing w:after="0" w:line="360" w:lineRule="auto"/>
        <w:ind w:firstLine="567"/>
        <w:jc w:val="both"/>
        <w:rPr>
          <w:rFonts w:ascii="Times New Roman" w:hAnsi="Times New Roman" w:cs="Times New Roman"/>
          <w:sz w:val="28"/>
          <w:szCs w:val="28"/>
        </w:rPr>
      </w:pPr>
      <w:r w:rsidRPr="00ED6115">
        <w:rPr>
          <w:rFonts w:ascii="Times New Roman" w:hAnsi="Times New Roman" w:cs="Times New Roman"/>
          <w:sz w:val="28"/>
          <w:szCs w:val="28"/>
        </w:rPr>
        <w:t>1. (номер ставится вручную)</w:t>
      </w:r>
    </w:p>
    <w:p w14:paraId="4323252C" w14:textId="77777777" w:rsidR="00ED6115" w:rsidRPr="00ED6115" w:rsidRDefault="00ED6115" w:rsidP="008E7AF6">
      <w:pPr>
        <w:spacing w:after="0" w:line="360" w:lineRule="auto"/>
        <w:ind w:firstLine="567"/>
        <w:jc w:val="both"/>
        <w:rPr>
          <w:rFonts w:ascii="Times New Roman" w:hAnsi="Times New Roman" w:cs="Times New Roman"/>
          <w:sz w:val="28"/>
          <w:szCs w:val="28"/>
        </w:rPr>
      </w:pPr>
      <w:r w:rsidRPr="00ED6115">
        <w:rPr>
          <w:rFonts w:ascii="Times New Roman" w:hAnsi="Times New Roman" w:cs="Times New Roman"/>
          <w:sz w:val="28"/>
          <w:szCs w:val="28"/>
        </w:rPr>
        <w:t>Численные характеристики влияния тестирования рассчитывались по выражению:</w:t>
      </w:r>
    </w:p>
    <w:tbl>
      <w:tblPr>
        <w:tblW w:w="0" w:type="auto"/>
        <w:jc w:val="center"/>
        <w:tblCellMar>
          <w:left w:w="0" w:type="dxa"/>
          <w:right w:w="0" w:type="dxa"/>
        </w:tblCellMar>
        <w:tblLook w:val="04A0" w:firstRow="1" w:lastRow="0" w:firstColumn="1" w:lastColumn="0" w:noHBand="0" w:noVBand="1"/>
      </w:tblPr>
      <w:tblGrid>
        <w:gridCol w:w="4840"/>
        <w:gridCol w:w="4798"/>
      </w:tblGrid>
      <w:tr w:rsidR="00ED6115" w:rsidRPr="00ED6115" w14:paraId="1EB33F53" w14:textId="77777777" w:rsidTr="00FE7C37">
        <w:trPr>
          <w:jc w:val="center"/>
        </w:trPr>
        <w:tc>
          <w:tcPr>
            <w:tcW w:w="4840" w:type="dxa"/>
            <w:shd w:val="clear" w:color="auto" w:fill="auto"/>
            <w:vAlign w:val="center"/>
          </w:tcPr>
          <w:p w14:paraId="3655E2F9" w14:textId="77777777" w:rsidR="00ED6115" w:rsidRPr="00ED6115" w:rsidRDefault="00ED6115" w:rsidP="00ED6115">
            <w:pPr>
              <w:spacing w:after="0" w:line="360" w:lineRule="auto"/>
              <w:ind w:firstLine="567"/>
              <w:rPr>
                <w:rFonts w:ascii="Times New Roman" w:hAnsi="Times New Roman" w:cs="Times New Roman"/>
                <w:sz w:val="28"/>
                <w:szCs w:val="28"/>
              </w:rPr>
            </w:pPr>
            <w:r w:rsidRPr="00ED6115">
              <w:rPr>
                <w:rFonts w:ascii="Times New Roman" w:hAnsi="Times New Roman" w:cs="Times New Roman"/>
                <w:sz w:val="28"/>
                <w:szCs w:val="28"/>
              </w:rPr>
              <w:lastRenderedPageBreak/>
              <w:drawing>
                <wp:inline distT="0" distB="0" distL="0" distR="0" wp14:anchorId="1FA42EDF" wp14:editId="78A6D2FC">
                  <wp:extent cx="1123950" cy="676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676275"/>
                          </a:xfrm>
                          <a:prstGeom prst="rect">
                            <a:avLst/>
                          </a:prstGeom>
                          <a:noFill/>
                        </pic:spPr>
                      </pic:pic>
                    </a:graphicData>
                  </a:graphic>
                </wp:inline>
              </w:drawing>
            </w:r>
          </w:p>
        </w:tc>
        <w:tc>
          <w:tcPr>
            <w:tcW w:w="4798" w:type="dxa"/>
            <w:shd w:val="clear" w:color="auto" w:fill="auto"/>
            <w:vAlign w:val="center"/>
          </w:tcPr>
          <w:p w14:paraId="17F14A11" w14:textId="77777777" w:rsidR="00ED6115" w:rsidRPr="00ED6115" w:rsidRDefault="00ED6115" w:rsidP="00ED6115">
            <w:pPr>
              <w:spacing w:after="0" w:line="360" w:lineRule="auto"/>
              <w:ind w:firstLine="567"/>
              <w:rPr>
                <w:rFonts w:ascii="Times New Roman" w:hAnsi="Times New Roman" w:cs="Times New Roman"/>
                <w:sz w:val="28"/>
                <w:szCs w:val="28"/>
              </w:rPr>
            </w:pPr>
            <w:r w:rsidRPr="00ED6115">
              <w:rPr>
                <w:rFonts w:ascii="Times New Roman" w:hAnsi="Times New Roman" w:cs="Times New Roman"/>
                <w:sz w:val="28"/>
                <w:szCs w:val="28"/>
              </w:rPr>
              <w:t>(1)</w:t>
            </w:r>
          </w:p>
        </w:tc>
      </w:tr>
    </w:tbl>
    <w:p w14:paraId="5D912220" w14:textId="77777777" w:rsidR="00ED6115" w:rsidRPr="008E7AF6" w:rsidRDefault="008E7AF6" w:rsidP="008E7AF6">
      <w:pPr>
        <w:spacing w:after="0" w:line="360" w:lineRule="auto"/>
        <w:ind w:firstLine="567"/>
        <w:jc w:val="both"/>
        <w:rPr>
          <w:rFonts w:ascii="Times New Roman" w:hAnsi="Times New Roman" w:cs="Times New Roman"/>
          <w:i/>
          <w:color w:val="808080" w:themeColor="background1" w:themeShade="80"/>
          <w:sz w:val="28"/>
          <w:szCs w:val="28"/>
        </w:rPr>
      </w:pPr>
      <w:r w:rsidRPr="008E7AF6">
        <w:rPr>
          <w:rFonts w:ascii="Times New Roman" w:hAnsi="Times New Roman" w:cs="Times New Roman"/>
          <w:i/>
          <w:color w:val="808080" w:themeColor="background1" w:themeShade="80"/>
          <w:sz w:val="28"/>
          <w:szCs w:val="28"/>
        </w:rPr>
        <w:t>Ф</w:t>
      </w:r>
      <w:r w:rsidR="00ED6115" w:rsidRPr="008E7AF6">
        <w:rPr>
          <w:rFonts w:ascii="Times New Roman" w:hAnsi="Times New Roman" w:cs="Times New Roman"/>
          <w:i/>
          <w:color w:val="808080" w:themeColor="background1" w:themeShade="80"/>
          <w:sz w:val="28"/>
          <w:szCs w:val="28"/>
        </w:rPr>
        <w:t>ормулы оформляются через редактор формул «</w:t>
      </w:r>
      <w:proofErr w:type="spellStart"/>
      <w:r w:rsidR="00ED6115" w:rsidRPr="008E7AF6">
        <w:rPr>
          <w:rFonts w:ascii="Times New Roman" w:hAnsi="Times New Roman" w:cs="Times New Roman"/>
          <w:bCs/>
          <w:i/>
          <w:color w:val="808080" w:themeColor="background1" w:themeShade="80"/>
          <w:sz w:val="28"/>
          <w:szCs w:val="28"/>
        </w:rPr>
        <w:t>MathType</w:t>
      </w:r>
      <w:proofErr w:type="spellEnd"/>
      <w:r w:rsidR="00ED6115" w:rsidRPr="008E7AF6">
        <w:rPr>
          <w:rFonts w:ascii="Times New Roman" w:hAnsi="Times New Roman" w:cs="Times New Roman"/>
          <w:i/>
          <w:color w:val="808080" w:themeColor="background1" w:themeShade="80"/>
          <w:sz w:val="28"/>
          <w:szCs w:val="28"/>
        </w:rPr>
        <w:t>» или «</w:t>
      </w:r>
      <w:r w:rsidR="00ED6115" w:rsidRPr="008E7AF6">
        <w:rPr>
          <w:rFonts w:ascii="Times New Roman" w:hAnsi="Times New Roman" w:cs="Times New Roman"/>
          <w:i/>
          <w:color w:val="808080" w:themeColor="background1" w:themeShade="80"/>
          <w:sz w:val="28"/>
          <w:szCs w:val="28"/>
          <w:lang w:val="en-US"/>
        </w:rPr>
        <w:t>Microsoft</w:t>
      </w:r>
      <w:r w:rsidR="00ED6115" w:rsidRPr="008E7AF6">
        <w:rPr>
          <w:rFonts w:ascii="Times New Roman" w:hAnsi="Times New Roman" w:cs="Times New Roman"/>
          <w:i/>
          <w:color w:val="808080" w:themeColor="background1" w:themeShade="80"/>
          <w:sz w:val="28"/>
          <w:szCs w:val="28"/>
        </w:rPr>
        <w:t xml:space="preserve"> </w:t>
      </w:r>
      <w:r w:rsidR="00ED6115" w:rsidRPr="008E7AF6">
        <w:rPr>
          <w:rFonts w:ascii="Times New Roman" w:hAnsi="Times New Roman" w:cs="Times New Roman"/>
          <w:i/>
          <w:color w:val="808080" w:themeColor="background1" w:themeShade="80"/>
          <w:sz w:val="28"/>
          <w:szCs w:val="28"/>
          <w:lang w:val="en-US"/>
        </w:rPr>
        <w:t>Equation</w:t>
      </w:r>
      <w:r w:rsidR="00ED6115" w:rsidRPr="008E7AF6">
        <w:rPr>
          <w:rFonts w:ascii="Times New Roman" w:hAnsi="Times New Roman" w:cs="Times New Roman"/>
          <w:i/>
          <w:color w:val="808080" w:themeColor="background1" w:themeShade="80"/>
          <w:sz w:val="28"/>
          <w:szCs w:val="28"/>
        </w:rPr>
        <w:t xml:space="preserve">», размер символа - 10 </w:t>
      </w:r>
      <w:proofErr w:type="spellStart"/>
      <w:r w:rsidRPr="008E7AF6">
        <w:rPr>
          <w:rFonts w:ascii="Times New Roman" w:hAnsi="Times New Roman" w:cs="Times New Roman"/>
          <w:i/>
          <w:color w:val="808080" w:themeColor="background1" w:themeShade="80"/>
          <w:sz w:val="28"/>
          <w:szCs w:val="28"/>
        </w:rPr>
        <w:t>пт</w:t>
      </w:r>
      <w:proofErr w:type="spellEnd"/>
      <w:r w:rsidR="00ED6115" w:rsidRPr="008E7AF6">
        <w:rPr>
          <w:rFonts w:ascii="Times New Roman" w:hAnsi="Times New Roman" w:cs="Times New Roman"/>
          <w:i/>
          <w:color w:val="808080" w:themeColor="background1" w:themeShade="80"/>
          <w:sz w:val="28"/>
          <w:szCs w:val="28"/>
        </w:rPr>
        <w:t xml:space="preserve">, длина формул не должна превышать </w:t>
      </w:r>
      <w:r w:rsidRPr="008E7AF6">
        <w:rPr>
          <w:rFonts w:ascii="Times New Roman" w:hAnsi="Times New Roman" w:cs="Times New Roman"/>
          <w:i/>
          <w:color w:val="808080" w:themeColor="background1" w:themeShade="80"/>
          <w:sz w:val="28"/>
          <w:szCs w:val="28"/>
        </w:rPr>
        <w:t>80 </w:t>
      </w:r>
      <w:r w:rsidR="00ED6115" w:rsidRPr="008E7AF6">
        <w:rPr>
          <w:rFonts w:ascii="Times New Roman" w:hAnsi="Times New Roman" w:cs="Times New Roman"/>
          <w:i/>
          <w:color w:val="808080" w:themeColor="background1" w:themeShade="80"/>
          <w:sz w:val="28"/>
          <w:szCs w:val="28"/>
        </w:rPr>
        <w:t>мм, латинские символы набираются курсивом, греческие</w:t>
      </w:r>
      <w:r w:rsidRPr="008E7AF6">
        <w:rPr>
          <w:rFonts w:ascii="Times New Roman" w:hAnsi="Times New Roman" w:cs="Times New Roman"/>
          <w:i/>
          <w:color w:val="808080" w:themeColor="background1" w:themeShade="80"/>
          <w:sz w:val="28"/>
          <w:szCs w:val="28"/>
        </w:rPr>
        <w:t xml:space="preserve"> символы</w:t>
      </w:r>
      <w:r w:rsidR="00ED6115" w:rsidRPr="008E7AF6">
        <w:rPr>
          <w:rFonts w:ascii="Times New Roman" w:hAnsi="Times New Roman" w:cs="Times New Roman"/>
          <w:i/>
          <w:color w:val="808080" w:themeColor="background1" w:themeShade="80"/>
          <w:sz w:val="28"/>
          <w:szCs w:val="28"/>
        </w:rPr>
        <w:t xml:space="preserve"> – прямым шрифтом, </w:t>
      </w:r>
      <w:r w:rsidRPr="008E7AF6">
        <w:rPr>
          <w:rFonts w:ascii="Times New Roman" w:hAnsi="Times New Roman" w:cs="Times New Roman"/>
          <w:i/>
          <w:color w:val="808080" w:themeColor="background1" w:themeShade="80"/>
          <w:sz w:val="28"/>
          <w:szCs w:val="28"/>
        </w:rPr>
        <w:t>кириллица – не допускается.</w:t>
      </w:r>
    </w:p>
    <w:p w14:paraId="23D710B3" w14:textId="77777777" w:rsidR="00ED6115" w:rsidRPr="00ED6115" w:rsidRDefault="00ED6115" w:rsidP="008E7AF6">
      <w:pPr>
        <w:widowControl w:val="0"/>
        <w:spacing w:after="0" w:line="360" w:lineRule="auto"/>
        <w:ind w:firstLine="567"/>
        <w:rPr>
          <w:rFonts w:ascii="Times New Roman" w:hAnsi="Times New Roman" w:cs="Times New Roman"/>
          <w:sz w:val="28"/>
          <w:szCs w:val="28"/>
          <w:lang w:val="uk-UA"/>
        </w:rPr>
      </w:pPr>
      <w:r w:rsidRPr="00ED6115">
        <w:rPr>
          <w:rFonts w:ascii="Times New Roman" w:hAnsi="Times New Roman" w:cs="Times New Roman"/>
          <w:i/>
          <w:sz w:val="28"/>
          <w:szCs w:val="28"/>
        </w:rPr>
        <w:t xml:space="preserve">Выводы исследования и перспективы дальнейших изысканий данного направления. </w:t>
      </w:r>
      <w:r w:rsidRPr="00ED6115">
        <w:rPr>
          <w:rFonts w:ascii="Times New Roman" w:hAnsi="Times New Roman" w:cs="Times New Roman"/>
          <w:sz w:val="28"/>
          <w:szCs w:val="28"/>
          <w:lang w:val="uk-UA"/>
        </w:rPr>
        <w:t>ТЕКСТ. ТЕКСТ. ТЕКСТ. ТЕКСТ.</w:t>
      </w:r>
    </w:p>
    <w:p w14:paraId="0CA86C29" w14:textId="77777777" w:rsidR="00E64DBC" w:rsidRPr="00E64DBC" w:rsidRDefault="00E64DBC" w:rsidP="00E64DBC">
      <w:pPr>
        <w:spacing w:after="0" w:line="360" w:lineRule="auto"/>
        <w:ind w:firstLine="567"/>
        <w:rPr>
          <w:rFonts w:ascii="Times New Roman" w:hAnsi="Times New Roman" w:cs="Times New Roman"/>
          <w:b/>
          <w:sz w:val="28"/>
          <w:szCs w:val="28"/>
        </w:rPr>
      </w:pPr>
      <w:r w:rsidRPr="00E64DBC">
        <w:rPr>
          <w:rFonts w:ascii="Times New Roman" w:hAnsi="Times New Roman" w:cs="Times New Roman"/>
          <w:b/>
          <w:sz w:val="28"/>
          <w:szCs w:val="28"/>
        </w:rPr>
        <w:t>СПИСОК ЛИТЕРАТУРЫ</w:t>
      </w:r>
    </w:p>
    <w:p w14:paraId="344A1F29" w14:textId="77777777" w:rsidR="00E64DBC" w:rsidRPr="00BA43A4" w:rsidRDefault="00E64DBC" w:rsidP="00E64DBC">
      <w:pPr>
        <w:pStyle w:val="a3"/>
        <w:spacing w:line="360" w:lineRule="auto"/>
        <w:ind w:firstLine="567"/>
        <w:jc w:val="both"/>
        <w:rPr>
          <w:rFonts w:ascii="Times New Roman" w:hAnsi="Times New Roman" w:cs="Times New Roman"/>
          <w:sz w:val="28"/>
          <w:szCs w:val="28"/>
        </w:rPr>
      </w:pPr>
      <w:r w:rsidRPr="00BA43A4">
        <w:rPr>
          <w:rFonts w:ascii="Times New Roman" w:hAnsi="Times New Roman" w:cs="Times New Roman"/>
          <w:sz w:val="28"/>
          <w:szCs w:val="28"/>
        </w:rPr>
        <w:t xml:space="preserve">1. Апресян </w:t>
      </w:r>
      <w:proofErr w:type="spellStart"/>
      <w:r w:rsidRPr="00BA43A4">
        <w:rPr>
          <w:rFonts w:ascii="Times New Roman" w:hAnsi="Times New Roman" w:cs="Times New Roman"/>
          <w:sz w:val="28"/>
          <w:szCs w:val="28"/>
        </w:rPr>
        <w:t>Р.Г</w:t>
      </w:r>
      <w:proofErr w:type="spellEnd"/>
      <w:r w:rsidRPr="00BA43A4">
        <w:rPr>
          <w:rFonts w:ascii="Times New Roman" w:hAnsi="Times New Roman" w:cs="Times New Roman"/>
          <w:sz w:val="28"/>
          <w:szCs w:val="28"/>
        </w:rPr>
        <w:t>. Золотое правило // Этика: старые новые проблемы. М.: Гардарики, 1999. С. 9–29.</w:t>
      </w:r>
    </w:p>
    <w:p w14:paraId="1A9A3F90" w14:textId="77777777" w:rsidR="00E64DBC" w:rsidRPr="00BA43A4" w:rsidRDefault="00E64DBC" w:rsidP="00E64DBC">
      <w:pPr>
        <w:pStyle w:val="a3"/>
        <w:spacing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2</w:t>
      </w:r>
      <w:r w:rsidRPr="00BA43A4">
        <w:rPr>
          <w:rFonts w:ascii="Times New Roman" w:hAnsi="Times New Roman" w:cs="Times New Roman"/>
          <w:bCs/>
          <w:sz w:val="28"/>
          <w:szCs w:val="28"/>
        </w:rPr>
        <w:t xml:space="preserve">. </w:t>
      </w:r>
      <w:proofErr w:type="spellStart"/>
      <w:r w:rsidRPr="00BA43A4">
        <w:rPr>
          <w:rFonts w:ascii="Times New Roman" w:hAnsi="Times New Roman" w:cs="Times New Roman"/>
          <w:bCs/>
          <w:sz w:val="28"/>
          <w:szCs w:val="28"/>
        </w:rPr>
        <w:t>Виленский</w:t>
      </w:r>
      <w:proofErr w:type="spellEnd"/>
      <w:r w:rsidRPr="00BA43A4">
        <w:rPr>
          <w:rFonts w:ascii="Times New Roman" w:hAnsi="Times New Roman" w:cs="Times New Roman"/>
          <w:bCs/>
          <w:sz w:val="28"/>
          <w:szCs w:val="28"/>
        </w:rPr>
        <w:t xml:space="preserve"> </w:t>
      </w:r>
      <w:proofErr w:type="spellStart"/>
      <w:r w:rsidRPr="00BA43A4">
        <w:rPr>
          <w:rFonts w:ascii="Times New Roman" w:hAnsi="Times New Roman" w:cs="Times New Roman"/>
          <w:bCs/>
          <w:sz w:val="28"/>
          <w:szCs w:val="28"/>
        </w:rPr>
        <w:t>М.Я</w:t>
      </w:r>
      <w:proofErr w:type="spellEnd"/>
      <w:r w:rsidRPr="00BA43A4">
        <w:rPr>
          <w:rFonts w:ascii="Times New Roman" w:hAnsi="Times New Roman" w:cs="Times New Roman"/>
          <w:bCs/>
          <w:sz w:val="28"/>
          <w:szCs w:val="28"/>
        </w:rPr>
        <w:t xml:space="preserve">. Физическая культура в гуманитарном образовательном пространстве // Физическая культура </w:t>
      </w:r>
      <w:r w:rsidRPr="00BA43A4">
        <w:rPr>
          <w:rFonts w:ascii="Times New Roman" w:hAnsi="Times New Roman" w:cs="Times New Roman"/>
          <w:iCs/>
          <w:sz w:val="28"/>
          <w:szCs w:val="28"/>
        </w:rPr>
        <w:t>[</w:t>
      </w:r>
      <w:r w:rsidRPr="00BA43A4">
        <w:rPr>
          <w:rFonts w:ascii="Times New Roman" w:hAnsi="Times New Roman" w:cs="Times New Roman"/>
          <w:sz w:val="28"/>
          <w:szCs w:val="28"/>
        </w:rPr>
        <w:t>Электронный ресурс]:</w:t>
      </w:r>
      <w:r w:rsidRPr="00BA43A4">
        <w:rPr>
          <w:rFonts w:ascii="Times New Roman" w:hAnsi="Times New Roman" w:cs="Times New Roman"/>
          <w:bCs/>
          <w:sz w:val="28"/>
          <w:szCs w:val="28"/>
        </w:rPr>
        <w:t xml:space="preserve"> науч.-метод. журнал. 1996.  № 1.  С. 27</w:t>
      </w:r>
      <w:r w:rsidRPr="00BA43A4">
        <w:rPr>
          <w:rFonts w:ascii="Times New Roman" w:hAnsi="Times New Roman" w:cs="Times New Roman"/>
          <w:sz w:val="28"/>
          <w:szCs w:val="28"/>
        </w:rPr>
        <w:t>–</w:t>
      </w:r>
      <w:r w:rsidRPr="00BA43A4">
        <w:rPr>
          <w:rFonts w:ascii="Times New Roman" w:hAnsi="Times New Roman" w:cs="Times New Roman"/>
          <w:bCs/>
          <w:sz w:val="28"/>
          <w:szCs w:val="28"/>
        </w:rPr>
        <w:t>32.</w:t>
      </w:r>
      <w:r w:rsidRPr="00BA43A4">
        <w:rPr>
          <w:rFonts w:ascii="Times New Roman" w:hAnsi="Times New Roman" w:cs="Times New Roman"/>
          <w:sz w:val="28"/>
          <w:szCs w:val="28"/>
        </w:rPr>
        <w:t xml:space="preserve">  Режим доступа:</w:t>
      </w:r>
      <w:r w:rsidRPr="00BA43A4">
        <w:rPr>
          <w:rFonts w:ascii="Times New Roman" w:hAnsi="Times New Roman" w:cs="Times New Roman"/>
          <w:bCs/>
          <w:sz w:val="28"/>
          <w:szCs w:val="28"/>
        </w:rPr>
        <w:t xml:space="preserve"> </w:t>
      </w:r>
      <w:r w:rsidRPr="00504435">
        <w:rPr>
          <w:rFonts w:ascii="Times New Roman" w:hAnsi="Times New Roman" w:cs="Times New Roman"/>
          <w:bCs/>
          <w:sz w:val="28"/>
          <w:szCs w:val="28"/>
          <w:lang w:val="en-US"/>
        </w:rPr>
        <w:t>http</w:t>
      </w:r>
      <w:r w:rsidRPr="00E64DBC">
        <w:rPr>
          <w:rFonts w:ascii="Times New Roman" w:hAnsi="Times New Roman" w:cs="Times New Roman"/>
          <w:bCs/>
          <w:sz w:val="28"/>
          <w:szCs w:val="28"/>
        </w:rPr>
        <w:t>://</w:t>
      </w:r>
      <w:r w:rsidRPr="00504435">
        <w:rPr>
          <w:rFonts w:ascii="Times New Roman" w:hAnsi="Times New Roman" w:cs="Times New Roman"/>
          <w:bCs/>
          <w:sz w:val="28"/>
          <w:szCs w:val="28"/>
          <w:lang w:val="en-US"/>
        </w:rPr>
        <w:t>www</w:t>
      </w:r>
      <w:r w:rsidRPr="00E64DBC">
        <w:rPr>
          <w:rFonts w:ascii="Times New Roman" w:hAnsi="Times New Roman" w:cs="Times New Roman"/>
          <w:bCs/>
          <w:sz w:val="28"/>
          <w:szCs w:val="28"/>
        </w:rPr>
        <w:t>.</w:t>
      </w:r>
      <w:proofErr w:type="spellStart"/>
      <w:r w:rsidRPr="00504435">
        <w:rPr>
          <w:rFonts w:ascii="Times New Roman" w:hAnsi="Times New Roman" w:cs="Times New Roman"/>
          <w:bCs/>
          <w:sz w:val="28"/>
          <w:szCs w:val="28"/>
          <w:lang w:val="en-US"/>
        </w:rPr>
        <w:t>vedu</w:t>
      </w:r>
      <w:proofErr w:type="spellEnd"/>
      <w:r w:rsidRPr="00E64DBC">
        <w:rPr>
          <w:rFonts w:ascii="Times New Roman" w:hAnsi="Times New Roman" w:cs="Times New Roman"/>
          <w:bCs/>
          <w:sz w:val="28"/>
          <w:szCs w:val="28"/>
        </w:rPr>
        <w:t>.</w:t>
      </w:r>
      <w:proofErr w:type="spellStart"/>
      <w:r w:rsidRPr="00504435">
        <w:rPr>
          <w:rFonts w:ascii="Times New Roman" w:hAnsi="Times New Roman" w:cs="Times New Roman"/>
          <w:bCs/>
          <w:sz w:val="28"/>
          <w:szCs w:val="28"/>
          <w:lang w:val="en-US"/>
        </w:rPr>
        <w:t>ru</w:t>
      </w:r>
      <w:proofErr w:type="spellEnd"/>
      <w:r w:rsidRPr="00E64DBC">
        <w:rPr>
          <w:rFonts w:ascii="Times New Roman" w:hAnsi="Times New Roman" w:cs="Times New Roman"/>
          <w:bCs/>
          <w:sz w:val="28"/>
          <w:szCs w:val="28"/>
        </w:rPr>
        <w:t>/</w:t>
      </w:r>
      <w:proofErr w:type="spellStart"/>
      <w:r w:rsidRPr="00504435">
        <w:rPr>
          <w:rFonts w:ascii="Times New Roman" w:hAnsi="Times New Roman" w:cs="Times New Roman"/>
          <w:bCs/>
          <w:sz w:val="28"/>
          <w:szCs w:val="28"/>
          <w:lang w:val="en-US"/>
        </w:rPr>
        <w:t>expdic</w:t>
      </w:r>
      <w:proofErr w:type="spellEnd"/>
      <w:r w:rsidRPr="00E64DBC">
        <w:rPr>
          <w:rFonts w:ascii="Times New Roman" w:hAnsi="Times New Roman" w:cs="Times New Roman"/>
          <w:bCs/>
          <w:sz w:val="28"/>
          <w:szCs w:val="28"/>
        </w:rPr>
        <w:t>/39859/</w:t>
      </w:r>
    </w:p>
    <w:p w14:paraId="2A853EB9" w14:textId="77777777" w:rsidR="00E64DBC" w:rsidRPr="00BA43A4" w:rsidRDefault="00E64DBC" w:rsidP="00E64DB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BA43A4">
        <w:rPr>
          <w:rFonts w:ascii="Times New Roman" w:hAnsi="Times New Roman" w:cs="Times New Roman"/>
          <w:sz w:val="28"/>
          <w:szCs w:val="28"/>
        </w:rPr>
        <w:t>. Гартман Н. Этика.  СПб.: Владимир Даль, 2002.  707 с.</w:t>
      </w:r>
    </w:p>
    <w:p w14:paraId="54C3F6A7" w14:textId="77777777" w:rsidR="00E64DBC" w:rsidRPr="00BA43A4" w:rsidRDefault="00E64DBC" w:rsidP="00E64DB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BA43A4">
        <w:rPr>
          <w:rFonts w:ascii="Times New Roman" w:hAnsi="Times New Roman" w:cs="Times New Roman"/>
          <w:sz w:val="28"/>
          <w:szCs w:val="28"/>
        </w:rPr>
        <w:t xml:space="preserve">. Этика: </w:t>
      </w:r>
      <w:hyperlink r:id="rId8" w:history="1">
        <w:r w:rsidRPr="00E64DBC">
          <w:rPr>
            <w:rFonts w:ascii="Times New Roman" w:hAnsi="Times New Roman" w:cs="Times New Roman"/>
            <w:sz w:val="28"/>
            <w:szCs w:val="28"/>
          </w:rPr>
          <w:t>энциклопедический словарь</w:t>
        </w:r>
      </w:hyperlink>
      <w:r w:rsidRPr="00BA43A4">
        <w:rPr>
          <w:rFonts w:ascii="Times New Roman" w:hAnsi="Times New Roman" w:cs="Times New Roman"/>
          <w:sz w:val="28"/>
          <w:szCs w:val="28"/>
        </w:rPr>
        <w:t xml:space="preserve"> / под ред. </w:t>
      </w:r>
      <w:proofErr w:type="spellStart"/>
      <w:r w:rsidRPr="00BA43A4">
        <w:rPr>
          <w:rFonts w:ascii="Times New Roman" w:hAnsi="Times New Roman" w:cs="Times New Roman"/>
          <w:sz w:val="28"/>
          <w:szCs w:val="28"/>
        </w:rPr>
        <w:t>Р.Г</w:t>
      </w:r>
      <w:proofErr w:type="spellEnd"/>
      <w:r w:rsidRPr="00BA43A4">
        <w:rPr>
          <w:rFonts w:ascii="Times New Roman" w:hAnsi="Times New Roman" w:cs="Times New Roman"/>
          <w:sz w:val="28"/>
          <w:szCs w:val="28"/>
        </w:rPr>
        <w:t>. Апресяна, А.А. Гусейнова.  М.: Гардарики, 2001.  671 с.</w:t>
      </w:r>
    </w:p>
    <w:p w14:paraId="7CDA4E63" w14:textId="77777777" w:rsidR="00E64DBC" w:rsidRPr="00E64DBC" w:rsidRDefault="00E64DBC" w:rsidP="00E64DBC">
      <w:pPr>
        <w:spacing w:after="0" w:line="360" w:lineRule="auto"/>
        <w:ind w:firstLine="567"/>
        <w:rPr>
          <w:rFonts w:ascii="Times New Roman" w:hAnsi="Times New Roman" w:cs="Times New Roman"/>
          <w:sz w:val="28"/>
          <w:szCs w:val="28"/>
        </w:rPr>
      </w:pPr>
    </w:p>
    <w:sectPr w:rsidR="00E64DBC" w:rsidRPr="00E64DBC" w:rsidSect="00E64D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B4"/>
    <w:rsid w:val="002D52BD"/>
    <w:rsid w:val="003742E4"/>
    <w:rsid w:val="003E6DB4"/>
    <w:rsid w:val="003F0757"/>
    <w:rsid w:val="00617CCA"/>
    <w:rsid w:val="008E407F"/>
    <w:rsid w:val="008E7AF6"/>
    <w:rsid w:val="00975443"/>
    <w:rsid w:val="009C5C2F"/>
    <w:rsid w:val="00AB762B"/>
    <w:rsid w:val="00BF7A21"/>
    <w:rsid w:val="00C03397"/>
    <w:rsid w:val="00CD01A9"/>
    <w:rsid w:val="00E64DBC"/>
    <w:rsid w:val="00E73ED9"/>
    <w:rsid w:val="00EA7CD6"/>
    <w:rsid w:val="00ED6115"/>
    <w:rsid w:val="00F52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D03A73"/>
  <w15:chartTrackingRefBased/>
  <w15:docId w15:val="{97D3A3B1-E3BA-46EA-929E-A27B47A7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64DBC"/>
    <w:pPr>
      <w:spacing w:after="0" w:line="240" w:lineRule="auto"/>
    </w:pPr>
    <w:rPr>
      <w:sz w:val="20"/>
      <w:szCs w:val="20"/>
    </w:rPr>
  </w:style>
  <w:style w:type="character" w:customStyle="1" w:styleId="a4">
    <w:name w:val="Текст сноски Знак"/>
    <w:basedOn w:val="a0"/>
    <w:link w:val="a3"/>
    <w:rsid w:val="00E64DBC"/>
    <w:rPr>
      <w:sz w:val="20"/>
      <w:szCs w:val="20"/>
    </w:rPr>
  </w:style>
  <w:style w:type="character" w:styleId="a5">
    <w:name w:val="Hyperlink"/>
    <w:basedOn w:val="a0"/>
    <w:uiPriority w:val="99"/>
    <w:unhideWhenUsed/>
    <w:rsid w:val="00E64DBC"/>
    <w:rPr>
      <w:color w:val="0563C1" w:themeColor="hyperlink"/>
      <w:u w:val="single"/>
    </w:rPr>
  </w:style>
  <w:style w:type="character" w:styleId="a6">
    <w:name w:val="Mention"/>
    <w:basedOn w:val="a0"/>
    <w:uiPriority w:val="99"/>
    <w:semiHidden/>
    <w:unhideWhenUsed/>
    <w:rsid w:val="008E7AF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du.ru/bigencdic/"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vedu.ru/bigencdic/35546/" TargetMode="External"/><Relationship Id="rId10" Type="http://schemas.openxmlformats.org/officeDocument/2006/relationships/theme" Target="theme/theme1.xml"/><Relationship Id="rId4" Type="http://schemas.openxmlformats.org/officeDocument/2006/relationships/hyperlink" Target="http://www.vedu.ru/expdic/606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Сушков</dc:creator>
  <cp:keywords/>
  <dc:description/>
  <cp:lastModifiedBy>Сергей Сушков</cp:lastModifiedBy>
  <cp:revision>1</cp:revision>
  <dcterms:created xsi:type="dcterms:W3CDTF">2017-02-05T19:12:00Z</dcterms:created>
  <dcterms:modified xsi:type="dcterms:W3CDTF">2017-02-05T21:13:00Z</dcterms:modified>
</cp:coreProperties>
</file>